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 постановлению Правительства Камчатского края от 29.12.2023 № 714-П «Об утверждении</w:t>
      </w:r>
      <w:r>
        <w:rPr>
          <w:rFonts w:ascii="Times New Roman" w:hAnsi="Times New Roman"/>
          <w:b w:val="1"/>
          <w:sz w:val="28"/>
        </w:rPr>
        <w:t xml:space="preserve"> государственной программы Камчатского края «Развитие образования в Камчатском крае»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</w:t>
      </w:r>
      <w:r>
        <w:rPr>
          <w:rFonts w:ascii="Times New Roman" w:hAnsi="Times New Roman"/>
          <w:sz w:val="28"/>
        </w:rPr>
        <w:t xml:space="preserve"> постановлению Правительства Камчатского края от 29.12.2023 № 714-П «Об утверждении государственной программы Камчат</w:t>
      </w:r>
      <w:r>
        <w:rPr>
          <w:rFonts w:ascii="Times New Roman" w:hAnsi="Times New Roman"/>
          <w:sz w:val="28"/>
        </w:rPr>
        <w:t>ского края «Развитие образования в Камчатском крае» изменения</w:t>
      </w:r>
      <w:r>
        <w:rPr>
          <w:rFonts w:ascii="Times New Roman" w:hAnsi="Times New Roman"/>
          <w:sz w:val="28"/>
        </w:rPr>
        <w:t xml:space="preserve"> согласно приложению к настоящему постановлению.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 и распространяется на правоотношения, возникшие с 1 марта 2024 года.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3"/>
        <w:gridCol w:w="255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r>
        <w:br w:type="page"/>
      </w:r>
    </w:p>
    <w:tbl>
      <w:tblPr>
        <w:tblStyle w:val="Style_3"/>
        <w:tblW w:type="auto" w:w="0"/>
        <w:tblLayout w:type="fixed"/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699"/>
      </w:tblGrid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к </w:t>
      </w:r>
      <w:r>
        <w:rPr>
          <w:rFonts w:ascii="Times New Roman" w:hAnsi="Times New Roman"/>
          <w:sz w:val="28"/>
        </w:rPr>
        <w:t xml:space="preserve">постановлению Правительства Камчатского края от 29.12.2023 № 714-П «Об </w:t>
      </w:r>
      <w:r>
        <w:rPr>
          <w:rFonts w:ascii="Times New Roman" w:hAnsi="Times New Roman"/>
          <w:sz w:val="28"/>
        </w:rPr>
        <w:t>утверждении государственной программы Камчатского края «Развитие образования в Камчатском крае»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части 22 слова «государственных образовательных организаций Камчатского края и» исключить.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приложении 9 к государственной программе Камчатского края «Развитие образования в Камчатском крае»: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наименовании слова «</w:t>
      </w:r>
      <w:r>
        <w:rPr>
          <w:rFonts w:ascii="Times New Roman" w:hAnsi="Times New Roman"/>
          <w:sz w:val="28"/>
        </w:rPr>
        <w:t xml:space="preserve">государственных образовательных организаций Камчатского края и» и слова «(далее </w:t>
      </w:r>
      <w:r>
        <w:rPr>
          <w:rFonts w:ascii="Times New Roman" w:hAnsi="Times New Roman"/>
          <w:color w:val="000000"/>
          <w:spacing w:val="0"/>
          <w:sz w:val="28"/>
        </w:rPr>
        <w:t>– Правила</w:t>
      </w:r>
      <w:r>
        <w:rPr>
          <w:rFonts w:ascii="Times New Roman" w:hAnsi="Times New Roman"/>
          <w:sz w:val="28"/>
        </w:rPr>
        <w:t>)»;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части 1 и 2 изложить в следующей редакции:</w:t>
      </w:r>
    </w:p>
    <w:p w14:paraId="3F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1. Настоящие Правила разработаны в соответствии со статьей 139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Бюджетного кодекса Российской Федерации и регулируют вопросы предоставления и распределения иных межбюджетных трансфертов местным бюджетам из краевого бюджета, в том числе за счет средств федерального бюджета, в рамках комплекса процессных мероприятий «Система материальных и моральных стимулов поддержки работников сферы образования» на обеспечение выплат ежемесячного денежного вознаграждения за классное руководство педагогическим работникам </w:t>
      </w:r>
      <w:r>
        <w:rPr>
          <w:rFonts w:ascii="Times New Roman" w:hAnsi="Times New Roman"/>
          <w:sz w:val="28"/>
        </w:rPr>
        <w:t xml:space="preserve">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иные межбюджетные трансферты).</w:t>
      </w:r>
    </w:p>
    <w:p w14:paraId="40000000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2. Иные межбюджетные трансферты предоставляются в целях софинансирования в полном объеме расходных обязательств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образований в Камчатском крае (далее – муниципальные образования) по финансовому обеспечению выплат ежемесячного денежного вознаграждения за классное руководство педагогическим работникам образовательных организаций из расчета 5 тысяч рублей в месяц в населенных пунктах с численностью населения 100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человек и более 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 и из расчета 10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рублей в месяц в населенных пунктах  численностью населения менее 100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человек (но не </w:t>
      </w:r>
      <w:r>
        <w:rPr>
          <w:rFonts w:ascii="Times New Roman" w:hAnsi="Times New Roman"/>
          <w:sz w:val="28"/>
        </w:rPr>
        <w:t xml:space="preserve">более 2 выплат ежемесячного денежного вознаграждения 1 педагогическому работнику при условии осуществления классного руководства в 2 и боле классах)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</w:t>
      </w:r>
      <w:r>
        <w:rPr>
          <w:rFonts w:ascii="Times New Roman" w:hAnsi="Times New Roman"/>
          <w:sz w:val="28"/>
        </w:rPr>
        <w:t>страховые взносы</w:t>
      </w:r>
      <w:r>
        <w:rPr>
          <w:rFonts w:ascii="Times New Roman" w:hAnsi="Times New Roman"/>
          <w:sz w:val="28"/>
        </w:rPr>
        <w:t xml:space="preserve">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 (далее – страховые взносы в государственные внебюджетные фонды),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и процентных надбавок к заработной плате за стаж работы в районах Крайнего Севера и приравненных к ним местностях, а также за работу в других районах (местностях) с особыми климатическими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b w:val="0"/>
          <w:sz w:val="28"/>
        </w:rPr>
        <w:t>, включая выплату части отпускных, начисленной с суммы выплаченного вознаграждения, учтенного в расчете средней заработной платы.»;</w:t>
      </w:r>
    </w:p>
    <w:p w14:paraId="41000000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3) часть 7 изложить в следующей редакции:</w:t>
      </w:r>
    </w:p>
    <w:p w14:paraId="42000000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sz w:val="28"/>
        </w:rPr>
        <w:t>7. Предоставление иных межбюджетных трансфертов осуществляется на основании соглашения о предоставлении иного межбюджетного трансферта, заключенного между Министерством и органом местного самоуправления муниципального образования (далее – Соглашение)</w:t>
      </w:r>
      <w:r>
        <w:rPr>
          <w:rFonts w:ascii="Times New Roman" w:hAnsi="Times New Roman"/>
          <w:sz w:val="28"/>
        </w:rPr>
        <w:t>.</w:t>
      </w:r>
    </w:p>
    <w:p w14:paraId="43000000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Соглашение и дополнительные соглашения к Соглашению, в том числе о его расторжении, заключаются в форме электронного документа посредством государственной интегрированной информационной системы управления общественными финансами «Электронный бюджет» в соответствии с типовыми формами соглашений, утвержденными Министерством финансов Российской Федерации.</w:t>
      </w:r>
      <w:r>
        <w:rPr>
          <w:rFonts w:ascii="Times New Roman" w:hAnsi="Times New Roman"/>
          <w:color w:val="333333"/>
          <w:sz w:val="28"/>
        </w:rPr>
        <w:t>»;</w:t>
      </w:r>
    </w:p>
    <w:p w14:paraId="44000000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4) абзац первый части 8 изложить в следующей редакции:</w:t>
      </w:r>
    </w:p>
    <w:p w14:paraId="45000000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sz w:val="28"/>
        </w:rPr>
        <w:t>8. Результатом предоставления иных межбюджетных трансфертов является обеспечение выплат денежного вознаграждения за классное руководство, предоставляемых педагогическим работникам образовательных организаций ежемесячно.</w:t>
      </w:r>
      <w:r>
        <w:rPr>
          <w:rFonts w:ascii="Times New Roman" w:hAnsi="Times New Roman"/>
          <w:color w:val="333333"/>
          <w:sz w:val="28"/>
        </w:rPr>
        <w:t>»;</w:t>
      </w:r>
    </w:p>
    <w:p w14:paraId="46000000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5) часть 9 изложить в следующей редакции:</w:t>
      </w:r>
    </w:p>
    <w:p w14:paraId="4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sz w:val="28"/>
        </w:rPr>
        <w:t>9. Размер иного межбюджетного трансферта, предоставляемого из краевого бюджета местному бюджету, определяется по формуле:</w:t>
      </w:r>
    </w:p>
    <w:p w14:paraId="48000000">
      <w:pPr>
        <w:widowControl w:val="0"/>
        <w:spacing w:after="0" w:line="240" w:lineRule="auto"/>
        <w:ind w:firstLine="540" w:left="0"/>
        <w:contextualSpacing w:val="1"/>
        <w:jc w:val="both"/>
        <w:rPr>
          <w:rFonts w:ascii="Times New Roman" w:hAnsi="Times New Roman"/>
          <w:sz w:val="28"/>
        </w:rPr>
      </w:pPr>
    </w:p>
    <w:p w14:paraId="4900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=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+ Т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, где:</w:t>
      </w:r>
    </w:p>
    <w:p w14:paraId="4A000000">
      <w:pPr>
        <w:widowControl w:val="0"/>
        <w:spacing w:after="0" w:line="240" w:lineRule="auto"/>
        <w:ind w:firstLine="540" w:left="0"/>
        <w:contextualSpacing w:val="1"/>
        <w:jc w:val="both"/>
        <w:rPr>
          <w:rFonts w:ascii="Times New Roman" w:hAnsi="Times New Roman"/>
          <w:sz w:val="28"/>
        </w:rPr>
      </w:pPr>
    </w:p>
    <w:p w14:paraId="4B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размер иного межбюджетного трансферта, предоставляемого бюджету j-того муниципального образования в очередном финансовом году;</w:t>
      </w:r>
    </w:p>
    <w:p w14:paraId="4C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объем иного межбюджетного трансферта из расчета 5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рублей в месяц в населенных пунктах с численностью населения 100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человек и более;</w:t>
      </w:r>
    </w:p>
    <w:p w14:paraId="4D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объем иного межбюджетного трансферта из расчета 10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рублей в месяц в населенных пунктах с численностью населения менее 100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человек.</w:t>
      </w:r>
      <w:r>
        <w:rPr>
          <w:rFonts w:ascii="Times New Roman" w:hAnsi="Times New Roman"/>
          <w:color w:val="333333"/>
          <w:sz w:val="28"/>
        </w:rPr>
        <w:t>»;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дополнить частями 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4F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Объем иного межбюджетного трансферта из расчета 5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рублей в месяц в населенных пунктах с численностью населения 100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человек и более (Т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) определяется по формул</w:t>
      </w:r>
      <w:r>
        <w:rPr>
          <w:rFonts w:ascii="Times New Roman" w:hAnsi="Times New Roman"/>
          <w:sz w:val="28"/>
        </w:rPr>
        <w:t>е:</w:t>
      </w:r>
    </w:p>
    <w:p w14:paraId="50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5100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= (Т</w:t>
      </w:r>
      <w:r>
        <w:rPr>
          <w:rFonts w:ascii="Times New Roman" w:hAnsi="Times New Roman"/>
          <w:sz w:val="28"/>
          <w:vertAlign w:val="subscript"/>
        </w:rPr>
        <w:t>кр1</w:t>
      </w:r>
      <w:r>
        <w:rPr>
          <w:rFonts w:ascii="Times New Roman" w:hAnsi="Times New Roman"/>
          <w:sz w:val="28"/>
        </w:rPr>
        <w:t xml:space="preserve"> × (Р</w:t>
      </w:r>
      <w:r>
        <w:rPr>
          <w:rFonts w:ascii="Times New Roman" w:hAnsi="Times New Roman"/>
          <w:sz w:val="28"/>
          <w:vertAlign w:val="subscript"/>
        </w:rPr>
        <w:t>к</w:t>
      </w:r>
      <w:r>
        <w:rPr>
          <w:rFonts w:ascii="Times New Roman" w:hAnsi="Times New Roman"/>
          <w:sz w:val="28"/>
        </w:rPr>
        <w:t xml:space="preserve"> + Р</w:t>
      </w:r>
      <w:r>
        <w:rPr>
          <w:rFonts w:ascii="Times New Roman" w:hAnsi="Times New Roman"/>
          <w:sz w:val="28"/>
          <w:vertAlign w:val="subscript"/>
        </w:rPr>
        <w:t>сев</w:t>
      </w:r>
      <w:r>
        <w:rPr>
          <w:rFonts w:ascii="Times New Roman" w:hAnsi="Times New Roman"/>
          <w:sz w:val="28"/>
        </w:rPr>
        <w:t>)) × Ч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bscript"/>
        </w:rPr>
        <w:t xml:space="preserve">пр </w:t>
      </w:r>
      <w:r>
        <w:rPr>
          <w:rFonts w:ascii="Times New Roman" w:hAnsi="Times New Roman"/>
          <w:sz w:val="28"/>
        </w:rPr>
        <w:t>×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 xml:space="preserve">мес </w:t>
      </w:r>
      <w:r>
        <w:rPr>
          <w:rFonts w:ascii="Times New Roman" w:hAnsi="Times New Roman"/>
          <w:sz w:val="28"/>
        </w:rPr>
        <w:t>× К</w:t>
      </w:r>
      <w:r>
        <w:rPr>
          <w:rFonts w:ascii="Times New Roman" w:hAnsi="Times New Roman"/>
          <w:sz w:val="28"/>
          <w:vertAlign w:val="subscript"/>
        </w:rPr>
        <w:t>нз</w:t>
      </w:r>
      <w:r>
        <w:rPr>
          <w:rFonts w:ascii="Times New Roman" w:hAnsi="Times New Roman"/>
          <w:sz w:val="28"/>
        </w:rPr>
        <w:t>, где:</w:t>
      </w:r>
    </w:p>
    <w:p w14:paraId="52000000">
      <w:pPr>
        <w:widowControl w:val="0"/>
        <w:spacing w:after="0" w:line="240" w:lineRule="auto"/>
        <w:ind w:firstLine="709" w:left="0"/>
        <w:contextualSpacing w:val="1"/>
        <w:jc w:val="both"/>
      </w:pPr>
    </w:p>
    <w:p w14:paraId="53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bscript"/>
        </w:rPr>
        <w:t>кр1</w:t>
      </w:r>
      <w:r>
        <w:rPr>
          <w:rFonts w:ascii="Times New Roman" w:hAnsi="Times New Roman"/>
          <w:sz w:val="28"/>
        </w:rPr>
        <w:t xml:space="preserve"> – 5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рублей – размер выплаты ежемесячного денежного вознаграждения за классное руководство педагогическим работникам образовательных организаций в населенных пунктах с численностью населения 100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человек и более;</w:t>
      </w:r>
    </w:p>
    <w:p w14:paraId="5400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  <w:vertAlign w:val="subscript"/>
        </w:rPr>
        <w:t>к</w:t>
      </w:r>
      <w:r>
        <w:rPr>
          <w:rFonts w:ascii="Times New Roman" w:hAnsi="Times New Roman"/>
          <w:sz w:val="28"/>
        </w:rPr>
        <w:t xml:space="preserve"> – районный коэффициент к заработной плате, установленный </w:t>
      </w:r>
      <w:r>
        <w:rPr>
          <w:rFonts w:ascii="Times New Roman" w:hAnsi="Times New Roman"/>
          <w:sz w:val="28"/>
        </w:rPr>
        <w:t>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условиями;</w:t>
      </w:r>
    </w:p>
    <w:p w14:paraId="5500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  <w:vertAlign w:val="subscript"/>
        </w:rPr>
        <w:t>сев</w:t>
      </w:r>
      <w:r>
        <w:rPr>
          <w:rFonts w:ascii="Times New Roman" w:hAnsi="Times New Roman"/>
          <w:sz w:val="28"/>
        </w:rPr>
        <w:t xml:space="preserve"> – процентная надбавка к заработной плате за стаж работы в районах Крайнего Севера и приравненных к ним местностях, а также за работу в других районах (местностях) с особыми климатическими условиями;</w:t>
      </w:r>
    </w:p>
    <w:p w14:paraId="5600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нз</w:t>
      </w:r>
      <w:r>
        <w:rPr>
          <w:rFonts w:ascii="Times New Roman" w:hAnsi="Times New Roman"/>
          <w:sz w:val="28"/>
        </w:rPr>
        <w:t xml:space="preserve"> – коэффициент начислений страховых взносов в государственные внебюджетные фонды на выплаты по оплате труда, установленный в соответствии с федеральным законодательством;</w:t>
      </w:r>
    </w:p>
    <w:p w14:paraId="5700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1пр</w:t>
      </w:r>
      <w:r>
        <w:rPr>
          <w:rFonts w:ascii="Times New Roman" w:hAnsi="Times New Roman"/>
          <w:sz w:val="28"/>
        </w:rPr>
        <w:t xml:space="preserve"> – прогнозируемая количество классов в населенных пунктах с численностью населения 100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человек и более (на основании прогнозном количестве классов по данным органов местного самоуправления муниципальных образований);</w:t>
      </w:r>
    </w:p>
    <w:p w14:paraId="58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мес</w:t>
      </w:r>
      <w:r>
        <w:rPr>
          <w:rFonts w:ascii="Times New Roman" w:hAnsi="Times New Roman"/>
          <w:sz w:val="28"/>
        </w:rPr>
        <w:t xml:space="preserve"> – количество месяцев в году, в которые выплачивается ежемесячное денежное вознаграждение педагогическим работникам общеобразовательных организаций за классное руководство.</w:t>
      </w:r>
    </w:p>
    <w:p w14:paraId="59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 Объем иного межбюджетного трансферта из расчета 10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рублей в месяц в населенных пунктах с численностью населения менее 100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человек (Т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) определяется по формуле:</w:t>
      </w:r>
    </w:p>
    <w:p w14:paraId="5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5B00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= (Т</w:t>
      </w:r>
      <w:r>
        <w:rPr>
          <w:rFonts w:ascii="Times New Roman" w:hAnsi="Times New Roman"/>
          <w:sz w:val="28"/>
          <w:vertAlign w:val="subscript"/>
        </w:rPr>
        <w:t>кр2</w:t>
      </w:r>
      <w:r>
        <w:rPr>
          <w:rFonts w:ascii="Times New Roman" w:hAnsi="Times New Roman"/>
          <w:sz w:val="28"/>
        </w:rPr>
        <w:t xml:space="preserve"> × (Р</w:t>
      </w:r>
      <w:r>
        <w:rPr>
          <w:rFonts w:ascii="Times New Roman" w:hAnsi="Times New Roman"/>
          <w:sz w:val="28"/>
          <w:vertAlign w:val="subscript"/>
        </w:rPr>
        <w:t>к</w:t>
      </w:r>
      <w:r>
        <w:rPr>
          <w:rFonts w:ascii="Times New Roman" w:hAnsi="Times New Roman"/>
          <w:sz w:val="28"/>
        </w:rPr>
        <w:t xml:space="preserve"> + Р</w:t>
      </w:r>
      <w:r>
        <w:rPr>
          <w:rFonts w:ascii="Times New Roman" w:hAnsi="Times New Roman"/>
          <w:sz w:val="28"/>
          <w:vertAlign w:val="subscript"/>
        </w:rPr>
        <w:t>сев</w:t>
      </w:r>
      <w:r>
        <w:rPr>
          <w:rFonts w:ascii="Times New Roman" w:hAnsi="Times New Roman"/>
          <w:sz w:val="28"/>
        </w:rPr>
        <w:t>)) × Ч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  <w:vertAlign w:val="subscript"/>
        </w:rPr>
        <w:t xml:space="preserve">пр </w:t>
      </w:r>
      <w:r>
        <w:rPr>
          <w:rFonts w:ascii="Times New Roman" w:hAnsi="Times New Roman"/>
          <w:sz w:val="28"/>
        </w:rPr>
        <w:t>×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 xml:space="preserve">мес </w:t>
      </w:r>
      <w:r>
        <w:rPr>
          <w:rFonts w:ascii="Times New Roman" w:hAnsi="Times New Roman"/>
          <w:sz w:val="28"/>
        </w:rPr>
        <w:t>× К</w:t>
      </w:r>
      <w:r>
        <w:rPr>
          <w:rFonts w:ascii="Times New Roman" w:hAnsi="Times New Roman"/>
          <w:sz w:val="28"/>
          <w:vertAlign w:val="subscript"/>
        </w:rPr>
        <w:t>нз</w:t>
      </w:r>
      <w:r>
        <w:rPr>
          <w:rFonts w:ascii="Times New Roman" w:hAnsi="Times New Roman"/>
          <w:sz w:val="28"/>
        </w:rPr>
        <w:t>, где:</w:t>
      </w:r>
    </w:p>
    <w:p w14:paraId="5C00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5D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bscript"/>
        </w:rPr>
        <w:t>кр2</w:t>
      </w:r>
      <w:r>
        <w:rPr>
          <w:rFonts w:ascii="Times New Roman" w:hAnsi="Times New Roman"/>
          <w:sz w:val="28"/>
        </w:rPr>
        <w:t xml:space="preserve"> – 10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рублей – размер выплаты ежемесячного денежного вознаграждения за классное руководство педагогическим работникам образовательных организаций в населенных пунктах с численностью населения менее 100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человек;</w:t>
      </w:r>
    </w:p>
    <w:p w14:paraId="5E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  <w:vertAlign w:val="subscript"/>
        </w:rPr>
        <w:t>пр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прогнозируемая количество классов в населенных пунктах с численностью населения менее 100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человек (на основании прогнозном количестве классов по данным органов местного самоуправления муниципальных образований).»;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часть 19 изложить в следующей редакции:</w:t>
      </w:r>
    </w:p>
    <w:p w14:paraId="6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Контроль за соблюдением муниципальными образованиями целей, условий и порядка предоставления </w:t>
      </w:r>
      <w:r>
        <w:rPr>
          <w:rFonts w:ascii="Times New Roman" w:hAnsi="Times New Roman"/>
          <w:sz w:val="28"/>
        </w:rPr>
        <w:t xml:space="preserve">и распределения </w:t>
      </w:r>
      <w:r>
        <w:rPr>
          <w:rFonts w:ascii="Times New Roman" w:hAnsi="Times New Roman"/>
          <w:sz w:val="28"/>
        </w:rPr>
        <w:t>иных межбюджетных трансфертов</w:t>
      </w:r>
      <w:r>
        <w:rPr>
          <w:rFonts w:ascii="Times New Roman" w:hAnsi="Times New Roman"/>
          <w:sz w:val="28"/>
        </w:rPr>
        <w:t>, а также за соблюдением условий Соглашений</w:t>
      </w:r>
      <w:r>
        <w:rPr>
          <w:rFonts w:ascii="Times New Roman" w:hAnsi="Times New Roman"/>
          <w:sz w:val="28"/>
        </w:rPr>
        <w:t xml:space="preserve"> осуществляется Министерством и органами госуда</w:t>
      </w:r>
      <w:r>
        <w:rPr>
          <w:rFonts w:ascii="Times New Roman" w:hAnsi="Times New Roman"/>
          <w:sz w:val="28"/>
        </w:rPr>
        <w:t>рственного финансового контроля.</w:t>
      </w:r>
    </w:p>
    <w:p w14:paraId="6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</w:t>
      </w:r>
      <w:r>
        <w:rPr>
          <w:rFonts w:ascii="Times New Roman" w:hAnsi="Times New Roman"/>
          <w:color w:val="000000"/>
          <w:spacing w:val="0"/>
          <w:sz w:val="28"/>
        </w:rPr>
        <w:t>–5</w:t>
      </w:r>
      <w:r>
        <w:rPr>
          <w:rFonts w:ascii="Times New Roman" w:hAnsi="Times New Roman"/>
          <w:sz w:val="28"/>
        </w:rPr>
        <w:t>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1235.».</w:t>
      </w:r>
    </w:p>
    <w:sectPr>
      <w:headerReference r:id="rId1" w:type="default"/>
      <w:pgSz w:h="16838" w:orient="portrait" w:w="11906"/>
      <w:pgMar w:bottom="1134" w:footer="0" w:gutter="0" w:header="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  <w:ind/>
      <w:jc w:val="center"/>
      <w:rPr>
        <w:rFonts w:ascii="Times New Roman" w:hAnsi="Times New Roman"/>
        <w:sz w:val="24"/>
      </w:rPr>
    </w:pPr>
  </w:p>
  <w:p w14:paraId="03000000">
    <w:pPr>
      <w:pStyle w:val="Style_1"/>
      <w:ind/>
      <w:jc w:val="center"/>
      <w:rPr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Название1"/>
    <w:link w:val="Style_6_ch"/>
    <w:rPr>
      <w:rFonts w:ascii="XO Thames" w:hAnsi="XO Thames"/>
      <w:b w:val="1"/>
      <w:caps w:val="1"/>
      <w:color w:val="000000"/>
      <w:spacing w:val="0"/>
      <w:sz w:val="40"/>
    </w:rPr>
  </w:style>
  <w:style w:styleId="Style_6_ch" w:type="character">
    <w:name w:val="Название1"/>
    <w:link w:val="Style_6"/>
    <w:rPr>
      <w:rFonts w:ascii="XO Thames" w:hAnsi="XO Thames"/>
      <w:b w:val="1"/>
      <w:caps w:val="1"/>
      <w:color w:val="000000"/>
      <w:spacing w:val="0"/>
      <w:sz w:val="40"/>
    </w:rPr>
  </w:style>
  <w:style w:styleId="Style_7" w:type="paragraph">
    <w:name w:val="Contents 6"/>
    <w:link w:val="Style_7_ch"/>
    <w:rPr>
      <w:rFonts w:ascii="XO Thames" w:hAnsi="XO Thames"/>
      <w:sz w:val="28"/>
    </w:rPr>
  </w:style>
  <w:style w:styleId="Style_7_ch" w:type="character">
    <w:name w:val="Contents 6"/>
    <w:link w:val="Style_7"/>
    <w:rPr>
      <w:rFonts w:ascii="XO Thames" w:hAnsi="XO Thames"/>
      <w:sz w:val="28"/>
    </w:rPr>
  </w:style>
  <w:style w:styleId="Style_8" w:type="paragraph">
    <w:name w:val="Contents 8"/>
    <w:link w:val="Style_8_ch"/>
    <w:rPr>
      <w:rFonts w:ascii="XO Thames" w:hAnsi="XO Thames"/>
      <w:sz w:val="28"/>
    </w:rPr>
  </w:style>
  <w:style w:styleId="Style_8_ch" w:type="character">
    <w:name w:val="Contents 8"/>
    <w:link w:val="Style_8"/>
    <w:rPr>
      <w:rFonts w:ascii="XO Thames" w:hAnsi="XO Thames"/>
      <w:sz w:val="28"/>
    </w:rPr>
  </w:style>
  <w:style w:styleId="Style_9" w:type="paragraph">
    <w:name w:val="toc 4"/>
    <w:next w:val="Style_4"/>
    <w:link w:val="Style_9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Contents 5"/>
    <w:link w:val="Style_10_ch"/>
    <w:rPr>
      <w:rFonts w:ascii="XO Thames" w:hAnsi="XO Thames"/>
      <w:sz w:val="28"/>
    </w:rPr>
  </w:style>
  <w:style w:styleId="Style_10_ch" w:type="character">
    <w:name w:val="Contents 5"/>
    <w:link w:val="Style_10"/>
    <w:rPr>
      <w:rFonts w:ascii="XO Thames" w:hAnsi="XO Thames"/>
      <w:sz w:val="28"/>
    </w:rPr>
  </w:style>
  <w:style w:styleId="Style_11" w:type="paragraph">
    <w:name w:val="toc 6"/>
    <w:next w:val="Style_4"/>
    <w:link w:val="Style_11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Верхний колонтитул1"/>
    <w:link w:val="Style_14_ch"/>
  </w:style>
  <w:style w:styleId="Style_14_ch" w:type="character">
    <w:name w:val="Верхний колонтитул1"/>
    <w:link w:val="Style_14"/>
  </w:style>
  <w:style w:styleId="Style_15" w:type="paragraph">
    <w:name w:val="Endnote"/>
    <w:link w:val="Style_15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15_ch" w:type="character">
    <w:name w:val="Endnote"/>
    <w:link w:val="Style_15"/>
    <w:rPr>
      <w:rFonts w:ascii="XO Thames" w:hAnsi="XO Thames"/>
    </w:rPr>
  </w:style>
  <w:style w:styleId="Style_16" w:type="paragraph">
    <w:name w:val="heading 3"/>
    <w:next w:val="Style_4"/>
    <w:link w:val="Style_16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Заголовок 2 Знак"/>
    <w:link w:val="Style_17_ch"/>
    <w:rPr>
      <w:rFonts w:ascii="XO Thames" w:hAnsi="XO Thames"/>
      <w:b w:val="1"/>
      <w:color w:val="000000"/>
      <w:spacing w:val="0"/>
      <w:sz w:val="28"/>
    </w:rPr>
  </w:style>
  <w:style w:styleId="Style_17_ch" w:type="character">
    <w:name w:val="Заголовок 2 Знак"/>
    <w:link w:val="Style_17"/>
    <w:rPr>
      <w:rFonts w:ascii="XO Thames" w:hAnsi="XO Thames"/>
      <w:b w:val="1"/>
      <w:color w:val="000000"/>
      <w:spacing w:val="0"/>
      <w:sz w:val="28"/>
    </w:rPr>
  </w:style>
  <w:style w:styleId="Style_18" w:type="paragraph">
    <w:name w:val="Contents 4"/>
    <w:link w:val="Style_18_ch"/>
    <w:rPr>
      <w:rFonts w:ascii="XO Thames" w:hAnsi="XO Thames"/>
      <w:sz w:val="28"/>
    </w:rPr>
  </w:style>
  <w:style w:styleId="Style_18_ch" w:type="character">
    <w:name w:val="Contents 4"/>
    <w:link w:val="Style_18"/>
    <w:rPr>
      <w:rFonts w:ascii="XO Thames" w:hAnsi="XO Thames"/>
      <w:sz w:val="28"/>
    </w:rPr>
  </w:style>
  <w:style w:styleId="Style_19" w:type="paragraph">
    <w:name w:val="Обычный1"/>
    <w:link w:val="Style_19_ch"/>
    <w:pPr>
      <w:spacing w:after="160" w:line="264" w:lineRule="auto"/>
      <w:ind/>
    </w:pPr>
  </w:style>
  <w:style w:styleId="Style_19_ch" w:type="character">
    <w:name w:val="Обычный1"/>
    <w:link w:val="Style_19"/>
  </w:style>
  <w:style w:styleId="Style_20" w:type="paragraph">
    <w:name w:val="Обычный1"/>
    <w:link w:val="Style_20_ch"/>
    <w:rPr>
      <w:rFonts w:asciiTheme="minorAscii" w:hAnsiTheme="minorHAnsi"/>
      <w:color w:val="000000"/>
      <w:spacing w:val="0"/>
      <w:sz w:val="22"/>
    </w:rPr>
  </w:style>
  <w:style w:styleId="Style_20_ch" w:type="character">
    <w:name w:val="Обычный1"/>
    <w:link w:val="Style_20"/>
    <w:rPr>
      <w:rFonts w:asciiTheme="minorAscii" w:hAnsiTheme="minorHAnsi"/>
      <w:color w:val="000000"/>
      <w:spacing w:val="0"/>
      <w:sz w:val="22"/>
    </w:rPr>
  </w:style>
  <w:style w:styleId="Style_21" w:type="paragraph">
    <w:name w:val="Заголовок 31"/>
    <w:link w:val="Style_21_ch"/>
    <w:rPr>
      <w:rFonts w:ascii="XO Thames" w:hAnsi="XO Thames"/>
      <w:b w:val="1"/>
      <w:sz w:val="26"/>
    </w:rPr>
  </w:style>
  <w:style w:styleId="Style_21_ch" w:type="character">
    <w:name w:val="Заголовок 31"/>
    <w:link w:val="Style_21"/>
    <w:rPr>
      <w:rFonts w:ascii="XO Thames" w:hAnsi="XO Thames"/>
      <w:b w:val="1"/>
      <w:sz w:val="26"/>
    </w:rPr>
  </w:style>
  <w:style w:styleId="Style_22" w:type="paragraph">
    <w:name w:val="List"/>
    <w:basedOn w:val="Style_23"/>
    <w:link w:val="Style_22_ch"/>
  </w:style>
  <w:style w:styleId="Style_22_ch" w:type="character">
    <w:name w:val="List"/>
    <w:basedOn w:val="Style_23_ch"/>
    <w:link w:val="Style_22"/>
  </w:style>
  <w:style w:styleId="Style_24" w:type="paragraph">
    <w:name w:val="Подзаголовок1"/>
    <w:link w:val="Style_24_ch"/>
    <w:rPr>
      <w:rFonts w:ascii="XO Thames" w:hAnsi="XO Thames"/>
      <w:i w:val="1"/>
      <w:sz w:val="24"/>
    </w:rPr>
  </w:style>
  <w:style w:styleId="Style_24_ch" w:type="character">
    <w:name w:val="Подзаголовок1"/>
    <w:link w:val="Style_24"/>
    <w:rPr>
      <w:rFonts w:ascii="XO Thames" w:hAnsi="XO Thames"/>
      <w:i w:val="1"/>
      <w:sz w:val="24"/>
    </w:rPr>
  </w:style>
  <w:style w:styleId="Style_25" w:type="paragraph">
    <w:name w:val="Заголовок 21"/>
    <w:link w:val="Style_25_ch"/>
    <w:rPr>
      <w:rFonts w:ascii="XO Thames" w:hAnsi="XO Thames"/>
      <w:b w:val="1"/>
      <w:sz w:val="28"/>
    </w:rPr>
  </w:style>
  <w:style w:styleId="Style_25_ch" w:type="character">
    <w:name w:val="Заголовок 21"/>
    <w:link w:val="Style_25"/>
    <w:rPr>
      <w:rFonts w:ascii="XO Thames" w:hAnsi="XO Thames"/>
      <w:b w:val="1"/>
      <w:sz w:val="28"/>
    </w:rPr>
  </w:style>
  <w:style w:styleId="Style_26" w:type="paragraph">
    <w:name w:val="toc 3"/>
    <w:next w:val="Style_4"/>
    <w:link w:val="Style_26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4_ch"/>
    <w:link w:val="Style_27"/>
    <w:rPr>
      <w:rFonts w:ascii="Segoe UI" w:hAnsi="Segoe UI"/>
      <w:sz w:val="18"/>
    </w:rPr>
  </w:style>
  <w:style w:styleId="Style_28" w:type="paragraph">
    <w:name w:val="Contents 2"/>
    <w:link w:val="Style_28_ch"/>
    <w:rPr>
      <w:rFonts w:ascii="XO Thames" w:hAnsi="XO Thames"/>
      <w:sz w:val="28"/>
    </w:rPr>
  </w:style>
  <w:style w:styleId="Style_28_ch" w:type="character">
    <w:name w:val="Contents 2"/>
    <w:link w:val="Style_28"/>
    <w:rPr>
      <w:rFonts w:ascii="XO Thames" w:hAnsi="XO Thames"/>
      <w:sz w:val="28"/>
    </w:rPr>
  </w:style>
  <w:style w:styleId="Style_29" w:type="paragraph">
    <w:name w:val="Основной шрифт абзаца1"/>
    <w:link w:val="Style_29_ch"/>
    <w:pPr>
      <w:spacing w:after="160" w:line="264" w:lineRule="auto"/>
      <w:ind/>
    </w:pPr>
  </w:style>
  <w:style w:styleId="Style_29_ch" w:type="character">
    <w:name w:val="Основной шрифт абзаца1"/>
    <w:link w:val="Style_29"/>
  </w:style>
  <w:style w:styleId="Style_30" w:type="paragraph">
    <w:name w:val="heading 5"/>
    <w:link w:val="Style_30_ch"/>
    <w:uiPriority w:val="9"/>
    <w:qFormat/>
    <w:pPr>
      <w:ind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Contents 9"/>
    <w:link w:val="Style_31_ch"/>
    <w:rPr>
      <w:rFonts w:ascii="XO Thames" w:hAnsi="XO Thames"/>
      <w:sz w:val="28"/>
    </w:rPr>
  </w:style>
  <w:style w:styleId="Style_31_ch" w:type="character">
    <w:name w:val="Contents 9"/>
    <w:link w:val="Style_31"/>
    <w:rPr>
      <w:rFonts w:ascii="XO Thames" w:hAnsi="XO Thames"/>
      <w:sz w:val="28"/>
    </w:rPr>
  </w:style>
  <w:style w:styleId="Style_32" w:type="paragraph">
    <w:name w:val="heading 1"/>
    <w:next w:val="Style_4"/>
    <w:link w:val="Style_32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Колонтитул"/>
    <w:link w:val="Style_33_ch"/>
    <w:pPr>
      <w:spacing w:after="160"/>
      <w:ind/>
      <w:jc w:val="both"/>
    </w:pPr>
    <w:rPr>
      <w:rFonts w:ascii="XO Thames" w:hAnsi="XO Thames"/>
      <w:sz w:val="20"/>
    </w:rPr>
  </w:style>
  <w:style w:styleId="Style_33_ch" w:type="character">
    <w:name w:val="Колонтитул"/>
    <w:link w:val="Style_33"/>
    <w:rPr>
      <w:rFonts w:ascii="XO Thames" w:hAnsi="XO Thames"/>
      <w:sz w:val="20"/>
    </w:rPr>
  </w:style>
  <w:style w:styleId="Style_34" w:type="paragraph">
    <w:name w:val="Contents 3"/>
    <w:link w:val="Style_34_ch"/>
    <w:rPr>
      <w:rFonts w:ascii="XO Thames" w:hAnsi="XO Thames"/>
      <w:sz w:val="28"/>
    </w:rPr>
  </w:style>
  <w:style w:styleId="Style_34_ch" w:type="character">
    <w:name w:val="Contents 3"/>
    <w:link w:val="Style_34"/>
    <w:rPr>
      <w:rFonts w:ascii="XO Thames" w:hAnsi="XO Thames"/>
      <w:sz w:val="28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36_ch" w:type="character">
    <w:name w:val="Footnote"/>
    <w:link w:val="Style_36"/>
    <w:rPr>
      <w:rFonts w:ascii="XO Thames" w:hAnsi="XO Thames"/>
    </w:rPr>
  </w:style>
  <w:style w:styleId="Style_37" w:type="paragraph">
    <w:name w:val="toc 1"/>
    <w:next w:val="Style_4"/>
    <w:link w:val="Style_37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Основной шрифт абзаца2"/>
    <w:link w:val="Style_39_ch"/>
    <w:pPr>
      <w:spacing w:after="160" w:line="264" w:lineRule="auto"/>
      <w:ind/>
    </w:pPr>
  </w:style>
  <w:style w:styleId="Style_39_ch" w:type="character">
    <w:name w:val="Основной шрифт абзаца2"/>
    <w:link w:val="Style_39"/>
  </w:style>
  <w:style w:styleId="Style_40" w:type="paragraph">
    <w:name w:val="Гиперссылка1"/>
    <w:link w:val="Style_40_ch"/>
    <w:rPr>
      <w:color w:val="0000FF"/>
      <w:u w:val="single"/>
    </w:rPr>
  </w:style>
  <w:style w:styleId="Style_40_ch" w:type="character">
    <w:name w:val="Гиперссылка1"/>
    <w:link w:val="Style_40"/>
    <w:rPr>
      <w:color w:val="0000FF"/>
      <w:u w:val="single"/>
    </w:rPr>
  </w:style>
  <w:style w:styleId="Style_41" w:type="paragraph">
    <w:name w:val="Заголовок 41"/>
    <w:link w:val="Style_41_ch"/>
    <w:rPr>
      <w:rFonts w:ascii="XO Thames" w:hAnsi="XO Thames"/>
      <w:b w:val="1"/>
      <w:sz w:val="24"/>
    </w:rPr>
  </w:style>
  <w:style w:styleId="Style_41_ch" w:type="character">
    <w:name w:val="Заголовок 41"/>
    <w:link w:val="Style_41"/>
    <w:rPr>
      <w:rFonts w:ascii="XO Thames" w:hAnsi="XO Thames"/>
      <w:b w:val="1"/>
      <w:sz w:val="24"/>
    </w:rPr>
  </w:style>
  <w:style w:styleId="Style_42" w:type="paragraph">
    <w:name w:val="toc 9"/>
    <w:next w:val="Style_4"/>
    <w:link w:val="Style_42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Заголовок"/>
    <w:basedOn w:val="Style_4"/>
    <w:next w:val="Style_23"/>
    <w:link w:val="Style_43_ch"/>
    <w:pPr>
      <w:keepNext w:val="1"/>
      <w:spacing w:after="120" w:before="240"/>
      <w:ind/>
    </w:pPr>
    <w:rPr>
      <w:rFonts w:ascii="Open Sans" w:hAnsi="Open Sans"/>
      <w:sz w:val="28"/>
    </w:rPr>
  </w:style>
  <w:style w:styleId="Style_43_ch" w:type="character">
    <w:name w:val="Заголовок"/>
    <w:basedOn w:val="Style_4_ch"/>
    <w:link w:val="Style_43"/>
    <w:rPr>
      <w:rFonts w:ascii="Open Sans" w:hAnsi="Open Sans"/>
      <w:sz w:val="28"/>
    </w:rPr>
  </w:style>
  <w:style w:styleId="Style_44" w:type="paragraph">
    <w:name w:val="toc 8"/>
    <w:next w:val="Style_4"/>
    <w:link w:val="Style_44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Заголовок 11"/>
    <w:link w:val="Style_45_ch"/>
    <w:rPr>
      <w:rFonts w:ascii="XO Thames" w:hAnsi="XO Thames"/>
      <w:b w:val="1"/>
      <w:sz w:val="32"/>
    </w:rPr>
  </w:style>
  <w:style w:styleId="Style_45_ch" w:type="character">
    <w:name w:val="Заголовок 11"/>
    <w:link w:val="Style_45"/>
    <w:rPr>
      <w:rFonts w:ascii="XO Thames" w:hAnsi="XO Thames"/>
      <w:b w:val="1"/>
      <w:sz w:val="32"/>
    </w:rPr>
  </w:style>
  <w:style w:styleId="Style_46" w:type="paragraph">
    <w:name w:val="Гиперссылка1"/>
    <w:basedOn w:val="Style_29"/>
    <w:link w:val="Style_46_ch"/>
    <w:rPr>
      <w:color w:themeColor="hyperlink" w:val="0563C1"/>
      <w:u w:val="single"/>
    </w:rPr>
  </w:style>
  <w:style w:styleId="Style_46_ch" w:type="character">
    <w:name w:val="Гиперссылка1"/>
    <w:basedOn w:val="Style_29_ch"/>
    <w:link w:val="Style_46"/>
    <w:rPr>
      <w:color w:themeColor="hyperlink" w:val="0563C1"/>
      <w:u w:val="single"/>
    </w:rPr>
  </w:style>
  <w:style w:styleId="Style_47" w:type="paragraph">
    <w:name w:val="caption"/>
    <w:basedOn w:val="Style_4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caption"/>
    <w:basedOn w:val="Style_4_ch"/>
    <w:link w:val="Style_47"/>
    <w:rPr>
      <w:i w:val="1"/>
      <w:sz w:val="24"/>
    </w:rPr>
  </w:style>
  <w:style w:styleId="Style_48" w:type="paragraph">
    <w:name w:val="Нижний колонтитул1"/>
    <w:basedOn w:val="Style_20"/>
    <w:link w:val="Style_48_ch"/>
    <w:rPr>
      <w:rFonts w:ascii="Times New Roman" w:hAnsi="Times New Roman"/>
      <w:color w:val="000000"/>
      <w:spacing w:val="0"/>
      <w:sz w:val="28"/>
    </w:rPr>
  </w:style>
  <w:style w:styleId="Style_48_ch" w:type="character">
    <w:name w:val="Нижний колонтитул1"/>
    <w:basedOn w:val="Style_20_ch"/>
    <w:link w:val="Style_48"/>
    <w:rPr>
      <w:rFonts w:ascii="Times New Roman" w:hAnsi="Times New Roman"/>
      <w:color w:val="000000"/>
      <w:spacing w:val="0"/>
      <w:sz w:val="28"/>
    </w:rPr>
  </w:style>
  <w:style w:styleId="Style_49" w:type="paragraph">
    <w:name w:val="Contents 1"/>
    <w:link w:val="Style_49_ch"/>
    <w:rPr>
      <w:rFonts w:ascii="XO Thames" w:hAnsi="XO Thames"/>
      <w:b w:val="1"/>
      <w:sz w:val="28"/>
    </w:rPr>
  </w:style>
  <w:style w:styleId="Style_49_ch" w:type="character">
    <w:name w:val="Contents 1"/>
    <w:link w:val="Style_49"/>
    <w:rPr>
      <w:rFonts w:ascii="XO Thames" w:hAnsi="XO Thames"/>
      <w:b w:val="1"/>
      <w:sz w:val="28"/>
    </w:rPr>
  </w:style>
  <w:style w:styleId="Style_50" w:type="paragraph">
    <w:name w:val="Plain Text"/>
    <w:basedOn w:val="Style_4"/>
    <w:link w:val="Style_50_ch"/>
    <w:pPr>
      <w:spacing w:after="0" w:line="240" w:lineRule="auto"/>
      <w:ind/>
    </w:pPr>
    <w:rPr>
      <w:rFonts w:ascii="Calibri" w:hAnsi="Calibri"/>
    </w:rPr>
  </w:style>
  <w:style w:styleId="Style_50_ch" w:type="character">
    <w:name w:val="Plain Text"/>
    <w:basedOn w:val="Style_4_ch"/>
    <w:link w:val="Style_50"/>
    <w:rPr>
      <w:rFonts w:ascii="Calibri" w:hAnsi="Calibri"/>
    </w:rPr>
  </w:style>
  <w:style w:styleId="Style_51" w:type="paragraph">
    <w:name w:val="Contents 7"/>
    <w:link w:val="Style_51_ch"/>
    <w:rPr>
      <w:rFonts w:ascii="XO Thames" w:hAnsi="XO Thames"/>
      <w:sz w:val="28"/>
    </w:rPr>
  </w:style>
  <w:style w:styleId="Style_51_ch" w:type="character">
    <w:name w:val="Contents 7"/>
    <w:link w:val="Style_51"/>
    <w:rPr>
      <w:rFonts w:ascii="XO Thames" w:hAnsi="XO Thames"/>
      <w:sz w:val="28"/>
    </w:rPr>
  </w:style>
  <w:style w:styleId="Style_52" w:type="paragraph">
    <w:name w:val="footer"/>
    <w:link w:val="Style_52_ch"/>
    <w:rPr>
      <w:rFonts w:ascii="Times New Roman" w:hAnsi="Times New Roman"/>
      <w:sz w:val="28"/>
    </w:rPr>
  </w:style>
  <w:style w:styleId="Style_52_ch" w:type="character">
    <w:name w:val="footer"/>
    <w:link w:val="Style_52"/>
    <w:rPr>
      <w:rFonts w:ascii="Times New Roman" w:hAnsi="Times New Roman"/>
      <w:sz w:val="28"/>
    </w:rPr>
  </w:style>
  <w:style w:styleId="Style_53" w:type="paragraph">
    <w:name w:val="index heading"/>
    <w:basedOn w:val="Style_4"/>
    <w:link w:val="Style_53_ch"/>
  </w:style>
  <w:style w:styleId="Style_53_ch" w:type="character">
    <w:name w:val="index heading"/>
    <w:basedOn w:val="Style_4_ch"/>
    <w:link w:val="Style_53"/>
  </w:style>
  <w:style w:styleId="Style_54" w:type="paragraph">
    <w:name w:val="toc 5"/>
    <w:next w:val="Style_4"/>
    <w:link w:val="Style_54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Internet link"/>
    <w:link w:val="Style_55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55_ch" w:type="character">
    <w:name w:val="Internet link"/>
    <w:link w:val="Style_55"/>
    <w:rPr>
      <w:rFonts w:ascii="Calibri" w:hAnsi="Calibri"/>
      <w:color w:val="0000FF"/>
      <w:u w:val="single"/>
    </w:rPr>
  </w:style>
  <w:style w:styleId="Style_23" w:type="paragraph">
    <w:name w:val="Body Text"/>
    <w:basedOn w:val="Style_4"/>
    <w:link w:val="Style_23_ch"/>
    <w:pPr>
      <w:spacing w:after="140" w:line="276" w:lineRule="auto"/>
      <w:ind/>
    </w:pPr>
  </w:style>
  <w:style w:styleId="Style_23_ch" w:type="character">
    <w:name w:val="Body Text"/>
    <w:basedOn w:val="Style_4_ch"/>
    <w:link w:val="Style_23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56" w:type="paragraph">
    <w:name w:val="Subtitle"/>
    <w:next w:val="Style_4"/>
    <w:link w:val="Style_56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Title"/>
    <w:link w:val="Style_57_ch"/>
    <w:uiPriority w:val="10"/>
    <w:qFormat/>
    <w:rPr>
      <w:rFonts w:ascii="XO Thames" w:hAnsi="XO Thames"/>
      <w:b w:val="1"/>
      <w:caps w:val="1"/>
      <w:sz w:val="40"/>
    </w:rPr>
  </w:style>
  <w:style w:styleId="Style_57_ch" w:type="character">
    <w:name w:val="Title"/>
    <w:link w:val="Style_57"/>
    <w:rPr>
      <w:rFonts w:ascii="XO Thames" w:hAnsi="XO Thames"/>
      <w:b w:val="1"/>
      <w:caps w:val="1"/>
      <w:sz w:val="40"/>
    </w:rPr>
  </w:style>
  <w:style w:styleId="Style_58" w:type="paragraph">
    <w:name w:val="heading 4"/>
    <w:next w:val="Style_4"/>
    <w:link w:val="Style_58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58_ch" w:type="character">
    <w:name w:val="heading 4"/>
    <w:link w:val="Style_58"/>
    <w:rPr>
      <w:rFonts w:ascii="XO Thames" w:hAnsi="XO Thames"/>
      <w:b w:val="1"/>
      <w:sz w:val="24"/>
    </w:rPr>
  </w:style>
  <w:style w:styleId="Style_59" w:type="paragraph">
    <w:name w:val="Заголовок 51"/>
    <w:link w:val="Style_59_ch"/>
    <w:rPr>
      <w:rFonts w:ascii="XO Thames" w:hAnsi="XO Thames"/>
      <w:b w:val="1"/>
      <w:color w:val="000000"/>
      <w:spacing w:val="0"/>
      <w:sz w:val="22"/>
    </w:rPr>
  </w:style>
  <w:style w:styleId="Style_59_ch" w:type="character">
    <w:name w:val="Заголовок 51"/>
    <w:link w:val="Style_59"/>
    <w:rPr>
      <w:rFonts w:ascii="XO Thames" w:hAnsi="XO Thames"/>
      <w:b w:val="1"/>
      <w:color w:val="000000"/>
      <w:spacing w:val="0"/>
      <w:sz w:val="22"/>
    </w:rPr>
  </w:style>
  <w:style w:styleId="Style_60" w:type="paragraph">
    <w:name w:val="heading 2"/>
    <w:next w:val="Style_4"/>
    <w:link w:val="Style_60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styleId="Style_61" w:type="table">
    <w:name w:val="Сетка таблицы2"/>
    <w:basedOn w:val="Style_2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Сетка таблицы1"/>
    <w:basedOn w:val="Style_2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2024-04-15T23:57:38Z</dcterms:modified>
</cp:coreProperties>
</file>