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76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32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1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647700" cy="807720"/>
                <wp:effectExtent l="0" t="0" r="0" b="0"/>
                <wp:wrapTight wrapText="bothSides">
                  <wp:wrapPolygon edited="1">
                    <wp:start x="0" y="0"/>
                    <wp:lineTo x="0" y="20887"/>
                    <wp:lineTo x="20965" y="20887"/>
                    <wp:lineTo x="20965" y="0"/>
                    <wp:lineTo x="0" y="0"/>
                  </wp:wrapPolygon>
                </wp:wrapTight>
                <wp:docPr id="1" name="Picture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647700" cy="8077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-251658240;o:allowoverlap:true;o:allowincell:true;mso-position-horizontal-relative:margin;mso-position-horizontal:center;mso-position-vertical-relative:text;margin-top:0.0pt;mso-position-vertical:absolute;width:51.0pt;height:63.6pt;mso-wrap-distance-left:9.0pt;mso-wrap-distance-top:0.0pt;mso-wrap-distance-right:9.0pt;mso-wrap-distance-bottom:0.0pt;" wrapcoords="0 0 0 96699 97060 96699 97060 0 0 0" stroked="false">
                <v:path textboxrect="0,0,0,0"/>
                <w10:wrap type="tight"/>
                <v:imagedata r:id="rId10" o:title=""/>
              </v:shape>
            </w:pict>
          </mc:Fallback>
        </mc:AlternateContent>
      </w:r>
      <w:r/>
    </w:p>
    <w:p>
      <w:pPr>
        <w:jc w:val="center"/>
        <w:spacing w:after="0" w:line="360" w:lineRule="auto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</w:r>
      <w:r/>
    </w:p>
    <w:p>
      <w:pPr>
        <w:jc w:val="center"/>
        <w:spacing w:after="0" w:line="240" w:lineRule="auto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</w:r>
      <w:r/>
    </w:p>
    <w:p>
      <w:pPr>
        <w:spacing w:after="0" w:line="240" w:lineRule="auto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</w:r>
      <w:r/>
    </w:p>
    <w:p>
      <w:pPr>
        <w:jc w:val="center"/>
        <w:spacing w:after="0" w:line="240" w:lineRule="auto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 xml:space="preserve">П О С Т А Н О В Л Е Н И Е</w:t>
      </w:r>
      <w:r/>
    </w:p>
    <w:p>
      <w:pPr>
        <w:jc w:val="center"/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</w:r>
      <w:r/>
    </w:p>
    <w:p>
      <w:pPr>
        <w:jc w:val="center"/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ПРАВИТЕЛЬСТВА</w:t>
      </w:r>
      <w:r/>
    </w:p>
    <w:p>
      <w:pPr>
        <w:jc w:val="center"/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КАМЧАТСКОГО КРАЯ</w:t>
      </w:r>
      <w:r/>
    </w:p>
    <w:p>
      <w:pPr>
        <w:ind w:firstLine="709"/>
        <w:jc w:val="center"/>
        <w:spacing w:after="0" w:line="276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  <w:r/>
    </w:p>
    <w:p>
      <w:pPr>
        <w:ind w:firstLine="709"/>
        <w:jc w:val="center"/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</w:r>
      <w:r/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3"/>
      </w:tblGrid>
      <w:tr>
        <w:trPr>
          <w:trHeight w:val="427"/>
        </w:trPr>
        <w:tc>
          <w:tcPr>
            <w:tcBorders>
              <w:top w:val="none" w:color="000000" w:sz="4" w:space="0"/>
              <w:left w:val="none" w:color="000000" w:sz="4" w:space="0"/>
              <w:right w:val="none" w:color="000000" w:sz="4" w:space="0"/>
            </w:tcBorders>
            <w:tcMar>
              <w:left w:w="0" w:type="dxa"/>
              <w:right w:w="0" w:type="dxa"/>
            </w:tcMar>
            <w:tcW w:w="4253" w:type="dxa"/>
            <w:textDirection w:val="lrTb"/>
            <w:noWrap w:val="false"/>
          </w:tcPr>
          <w:p>
            <w:pPr>
              <w:ind w:left="142" w:hanging="142"/>
              <w:spacing w:after="0" w:line="240" w:lineRule="auto"/>
              <w:rPr>
                <w:rFonts w:ascii="Times New Roman" w:hAnsi="Times New Roman"/>
                <w:sz w:val="24"/>
              </w:rPr>
            </w:pPr>
            <w:r/>
            <w:bookmarkStart w:id="0" w:name="REGNUMDATESTAMP"/>
            <w:r>
              <w:rPr>
                <w:rFonts w:ascii="Times New Roman" w:hAnsi="Times New Roman"/>
                <w:color w:val="ffffff"/>
                <w:sz w:val="24"/>
              </w:rPr>
              <w:t xml:space="preserve">[Дата регистрации] № [Номер</w:t>
            </w:r>
            <w:r>
              <w:rPr>
                <w:rFonts w:ascii="Times New Roman" w:hAnsi="Times New Roman"/>
                <w:color w:val="ffffff"/>
                <w:sz w:val="20"/>
              </w:rPr>
              <w:t xml:space="preserve"> документа</w:t>
            </w:r>
            <w:r>
              <w:rPr>
                <w:rFonts w:ascii="Times New Roman" w:hAnsi="Times New Roman"/>
                <w:color w:val="ffffff"/>
                <w:sz w:val="24"/>
              </w:rPr>
              <w:t xml:space="preserve">]</w:t>
            </w:r>
            <w:bookmarkEnd w:id="0"/>
            <w:r/>
            <w:r/>
          </w:p>
        </w:tc>
      </w:tr>
      <w:tr>
        <w:trPr>
          <w:trHeight w:val="247"/>
        </w:trPr>
        <w:tc>
          <w:tcPr>
            <w:tcBorders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0" w:type="dxa"/>
              <w:right w:w="0" w:type="dxa"/>
            </w:tcMar>
            <w:tcW w:w="42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</w:rPr>
              <w:t xml:space="preserve">г. Петропавловск-Камчатский</w:t>
            </w:r>
            <w:r/>
          </w:p>
        </w:tc>
      </w:tr>
      <w:tr>
        <w:trPr>
          <w:trHeight w:val="80"/>
        </w:trPr>
        <w:tc>
          <w:tcPr>
            <w:tcMar>
              <w:left w:w="0" w:type="dxa"/>
              <w:right w:w="0" w:type="dxa"/>
            </w:tcMar>
            <w:tcW w:w="4253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  <w:r/>
          </w:p>
        </w:tc>
      </w:tr>
    </w:tbl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  <w:r/>
    </w:p>
    <w:p>
      <w:pPr>
        <w:jc w:val="center"/>
        <w:spacing w:after="0" w:line="240" w:lineRule="auto"/>
      </w:pPr>
      <w:r>
        <w:rPr>
          <w:rFonts w:ascii="Times New Roman" w:hAnsi="Times New Roman"/>
          <w:b/>
          <w:sz w:val="28"/>
        </w:rPr>
        <w:t xml:space="preserve">О внесении изменений в приложение 1 к постановлению Правительства Камчатского края от 29.12.2023 № 714-П «Об утверждении государственной программы Камчатского края «Развитие образования в Камчатском крае»</w:t>
      </w:r>
      <w:r/>
    </w:p>
    <w:p>
      <w:pPr>
        <w:ind w:firstLine="709"/>
        <w:jc w:val="both"/>
        <w:spacing w:after="0" w:line="240" w:lineRule="auto"/>
      </w:pPr>
      <w:r/>
      <w:r/>
    </w:p>
    <w:p>
      <w:pPr>
        <w:ind w:firstLine="709"/>
        <w:jc w:val="both"/>
        <w:spacing w:after="0" w:line="240" w:lineRule="auto"/>
      </w:pPr>
      <w:r/>
      <w:r/>
    </w:p>
    <w:p>
      <w:pPr>
        <w:ind w:firstLine="709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ПРАВИТЕЛЬСТВО ПОСТАНОВЛЯЕТ:</w:t>
      </w:r>
      <w:r/>
    </w:p>
    <w:p>
      <w:pPr>
        <w:ind w:firstLine="709"/>
        <w:jc w:val="both"/>
        <w:spacing w:after="0" w:line="240" w:lineRule="auto"/>
      </w:pPr>
      <w:r/>
      <w:r/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</w:rPr>
        <w:t xml:space="preserve">1. Внести в приложение 1 к постановлению Правительства Камчатского края Правительства Камчатского края от 29.12.2023 № 714-П «Об утверждении государственной программы Камчатского края «Развитие образования в Камчатском крае» следующие изменения:</w:t>
      </w:r>
      <w:r/>
    </w:p>
    <w:p>
      <w:pPr>
        <w:ind w:left="0" w:firstLine="0"/>
        <w:jc w:val="both"/>
        <w:spacing w:after="0" w:line="240" w:lineRule="auto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highlight w:val="none"/>
        </w:rPr>
        <w:tab/>
        <w:t xml:space="preserve">1) в части </w:t>
      </w:r>
      <w:r>
        <w:rPr>
          <w:rFonts w:ascii="Times New Roman" w:hAnsi="Times New Roman"/>
          <w:sz w:val="28"/>
          <w:highlight w:val="none"/>
        </w:rPr>
        <w:t xml:space="preserve">24</w:t>
      </w:r>
      <w:r>
        <w:rPr>
          <w:rFonts w:ascii="Times New Roman" w:hAnsi="Times New Roman"/>
          <w:sz w:val="28"/>
          <w:highlight w:val="none"/>
        </w:rPr>
        <w:t xml:space="preserve"> после слов «</w:t>
      </w:r>
      <w:r>
        <w:rPr>
          <w:rFonts w:ascii="Times New Roman" w:hAnsi="Times New Roman"/>
          <w:b w:val="0"/>
          <w:sz w:val="28"/>
        </w:rPr>
        <w:t xml:space="preserve">образовательных организаций</w:t>
      </w:r>
      <w:r>
        <w:rPr>
          <w:rFonts w:ascii="Times New Roman" w:hAnsi="Times New Roman"/>
          <w:sz w:val="28"/>
          <w:highlight w:val="none"/>
        </w:rPr>
        <w:t xml:space="preserve">» дополнить словами </w:t>
      </w:r>
      <w:r>
        <w:rPr>
          <w:rFonts w:ascii="Times New Roman" w:hAnsi="Times New Roman"/>
          <w:sz w:val="28"/>
          <w:highlight w:val="white"/>
        </w:rPr>
        <w:t xml:space="preserve">«</w:t>
      </w:r>
      <w:r>
        <w:rPr>
          <w:rFonts w:ascii="Times New Roman" w:hAnsi="Times New Roman"/>
          <w:b w:val="0"/>
          <w:sz w:val="28"/>
          <w:highlight w:val="white"/>
        </w:rPr>
        <w:t xml:space="preserve">и разработку проектно-сметной документации</w:t>
      </w:r>
      <w:r>
        <w:rPr>
          <w:rFonts w:ascii="Times New Roman" w:hAnsi="Times New Roman"/>
          <w:sz w:val="28"/>
          <w:highlight w:val="white"/>
        </w:rPr>
        <w:t xml:space="preserve">»</w:t>
      </w:r>
      <w:r>
        <w:rPr>
          <w:rFonts w:ascii="Times New Roman" w:hAnsi="Times New Roman"/>
          <w:sz w:val="28"/>
          <w:highlight w:val="none"/>
        </w:rPr>
        <w:t xml:space="preserve">;</w:t>
      </w:r>
      <w:r>
        <w:rPr>
          <w:rFonts w:ascii="Times New Roman" w:hAnsi="Times New Roman"/>
          <w:sz w:val="28"/>
          <w:highlight w:val="white"/>
        </w:rPr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sz w:val="28"/>
          <w:szCs w:val="28"/>
        </w:rPr>
      </w:r>
      <w:r>
        <w:rPr>
          <w:rFonts w:ascii="Times New Roman" w:hAnsi="Times New Roman"/>
          <w:sz w:val="28"/>
          <w:szCs w:val="28"/>
          <w:highlight w:val="white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2) дополнить частью 24</w:t>
      </w:r>
      <w:r>
        <w:rPr>
          <w:rFonts w:ascii="Times New Roman" w:hAnsi="Times New Roman"/>
          <w:sz w:val="28"/>
          <w:vertAlign w:val="superscript"/>
        </w:rPr>
        <w:t xml:space="preserve">3</w:t>
      </w:r>
      <w:r>
        <w:rPr>
          <w:rFonts w:ascii="Times New Roman" w:hAnsi="Times New Roman"/>
          <w:sz w:val="28"/>
        </w:rPr>
        <w:t xml:space="preserve"> следующего содержания:</w:t>
      </w:r>
      <w:r/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</w:rPr>
        <w:t xml:space="preserve">«24</w:t>
      </w:r>
      <w:r>
        <w:rPr>
          <w:rFonts w:ascii="Times New Roman" w:hAnsi="Times New Roman"/>
          <w:sz w:val="28"/>
          <w:vertAlign w:val="superscript"/>
        </w:rPr>
        <w:t xml:space="preserve">3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 w:cs="Times New Roman"/>
          <w:sz w:val="28"/>
          <w:highlight w:val="white"/>
        </w:rPr>
        <w:t xml:space="preserve">Порядок </w:t>
      </w:r>
      <w:r>
        <w:rPr>
          <w:rFonts w:ascii="Times New Roman" w:hAnsi="Times New Roman" w:cs="Times New Roman"/>
          <w:sz w:val="28"/>
          <w:highlight w:val="white"/>
        </w:rPr>
        <w:t xml:space="preserve">предоставления и распределения субсидий из краевого бюджета местным бюджетам </w:t>
      </w:r>
      <w:r>
        <w:rPr>
          <w:rFonts w:ascii="Times New Roman" w:hAnsi="Times New Roman" w:cs="Times New Roman"/>
          <w:sz w:val="28"/>
          <w:highlight w:val="white"/>
        </w:rPr>
        <w:t xml:space="preserve">в рамках комплекса процессных мероприятий </w:t>
      </w:r>
      <w:r>
        <w:rPr>
          <w:rFonts w:ascii="Times New Roman" w:hAnsi="Times New Roman" w:cs="Times New Roman"/>
          <w:sz w:val="28"/>
          <w:highlight w:val="white"/>
        </w:rPr>
        <w:t xml:space="preserve">«Развитие инфраструктуры образования для сохранения здоровья ребенка»</w:t>
      </w:r>
      <w:r>
        <w:rPr>
          <w:rFonts w:ascii="Times New Roman" w:hAnsi="Times New Roman" w:cs="Times New Roman"/>
          <w:sz w:val="28"/>
          <w:highlight w:val="white"/>
        </w:rPr>
        <w:t xml:space="preserve"> на реализацию мероприятий по благоустройству территорий муниципальных образовательных организаций в Камчатском крае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, приведен в приложении 14 к настоящей Программ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е</w:t>
      </w:r>
      <w:r>
        <w:rPr>
          <w:rFonts w:ascii="Times New Roman" w:hAnsi="Times New Roman"/>
          <w:sz w:val="28"/>
          <w:highlight w:val="white"/>
        </w:rPr>
        <w:t xml:space="preserve">.</w:t>
      </w:r>
      <w:r>
        <w:rPr>
          <w:rFonts w:ascii="Times New Roman" w:hAnsi="Times New Roman"/>
          <w:sz w:val="28"/>
        </w:rPr>
        <w:t xml:space="preserve">»;</w:t>
      </w:r>
      <w:r/>
      <w:r>
        <w:rPr>
          <w:rFonts w:ascii="Times New Roman" w:hAnsi="Times New Roman"/>
          <w:sz w:val="28"/>
          <w:highlight w:val="none"/>
        </w:rPr>
      </w:r>
      <w:r>
        <w:rPr>
          <w:rFonts w:ascii="Times New Roman" w:hAnsi="Times New Roman"/>
          <w:sz w:val="28"/>
          <w:highlight w:val="none"/>
        </w:rPr>
      </w:r>
      <w:r>
        <w:rPr>
          <w:rFonts w:ascii="Times New Roman" w:hAnsi="Times New Roman"/>
          <w:sz w:val="28"/>
          <w:szCs w:val="28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highlight w:val="none"/>
        </w:rPr>
      </w:pPr>
      <w:r>
        <w:rPr>
          <w:rFonts w:ascii="Times New Roman" w:hAnsi="Times New Roman"/>
          <w:sz w:val="28"/>
          <w:highlight w:val="none"/>
        </w:rPr>
        <w:t xml:space="preserve">3) </w:t>
      </w:r>
      <w:r>
        <w:rPr>
          <w:rFonts w:ascii="Times New Roman" w:hAnsi="Times New Roman"/>
          <w:sz w:val="28"/>
          <w:szCs w:val="28"/>
          <w:highlight w:val="none"/>
        </w:rPr>
      </w:r>
      <w:r>
        <w:rPr>
          <w:rFonts w:ascii="Times New Roman" w:hAnsi="Times New Roman"/>
          <w:sz w:val="28"/>
        </w:rPr>
        <w:t xml:space="preserve">приложение 11 изложить в редакции согласно приложению 1 к настоящему постановлению;</w:t>
      </w:r>
      <w:r/>
      <w:r>
        <w:rPr>
          <w:rFonts w:ascii="Times New Roman" w:hAnsi="Times New Roman"/>
          <w:sz w:val="28"/>
          <w:highlight w:val="none"/>
        </w:rPr>
      </w:r>
      <w:r>
        <w:rPr>
          <w:rFonts w:ascii="Times New Roman" w:hAnsi="Times New Roman"/>
          <w:sz w:val="28"/>
          <w:highlight w:val="none"/>
        </w:rPr>
      </w:r>
    </w:p>
    <w:p>
      <w:pPr>
        <w:ind w:firstLine="709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4) дополнить приложением 14 согласно </w:t>
      </w:r>
      <w:r>
        <w:rPr>
          <w:rFonts w:ascii="Times New Roman" w:hAnsi="Times New Roman"/>
          <w:sz w:val="28"/>
        </w:rPr>
        <w:t xml:space="preserve">приложению</w:t>
      </w:r>
      <w:r>
        <w:rPr>
          <w:rFonts w:ascii="Times New Roman" w:hAnsi="Times New Roman"/>
          <w:sz w:val="28"/>
        </w:rPr>
        <w:t xml:space="preserve"> 2 к настоящему постановлению.</w:t>
      </w:r>
      <w:r/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Настоящее постановление вступает в силу</w:t>
      </w:r>
      <w:r>
        <w:rPr>
          <w:rFonts w:ascii="Times New Roman" w:hAnsi="Times New Roman"/>
          <w:sz w:val="28"/>
        </w:rPr>
        <w:t xml:space="preserve"> после дня его официального опубликования</w:t>
      </w:r>
      <w:r>
        <w:rPr>
          <w:rFonts w:ascii="Times New Roman" w:hAnsi="Times New Roman"/>
          <w:sz w:val="28"/>
        </w:rPr>
        <w:t xml:space="preserve">.</w:t>
      </w:r>
      <w:r/>
    </w:p>
    <w:p>
      <w:pPr>
        <w:jc w:val="both"/>
        <w:spacing w:after="0" w:line="240" w:lineRule="auto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  <w:r/>
    </w:p>
    <w:tbl>
      <w:tblPr>
        <w:tblW w:w="9686" w:type="dxa"/>
        <w:tblInd w:w="-3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83"/>
        <w:gridCol w:w="3549"/>
        <w:gridCol w:w="2554"/>
      </w:tblGrid>
      <w:tr>
        <w:trPr>
          <w:trHeight w:val="620"/>
        </w:trPr>
        <w:tc>
          <w:tcPr>
            <w:shd w:val="clear" w:color="auto" w:fill="auto"/>
            <w:tcMar>
              <w:left w:w="0" w:type="dxa"/>
              <w:right w:w="0" w:type="dxa"/>
            </w:tcMar>
            <w:tcW w:w="3583" w:type="dxa"/>
            <w:textDirection w:val="lrTb"/>
            <w:noWrap w:val="false"/>
          </w:tcPr>
          <w:p>
            <w:pPr>
              <w:ind w:left="30" w:right="27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 xml:space="preserve">Председатель Правительства Камчатского края</w:t>
            </w:r>
            <w:r/>
          </w:p>
          <w:p>
            <w:pPr>
              <w:ind w:left="30" w:right="27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/>
          </w:p>
        </w:tc>
        <w:tc>
          <w:tcPr>
            <w:shd w:val="clear" w:color="auto" w:fill="auto"/>
            <w:tcMar>
              <w:left w:w="0" w:type="dxa"/>
              <w:right w:w="0" w:type="dxa"/>
            </w:tcMar>
            <w:tcW w:w="3549" w:type="dxa"/>
            <w:textDirection w:val="lrTb"/>
            <w:noWrap w:val="false"/>
          </w:tcPr>
          <w:p>
            <w:pPr>
              <w:ind w:left="3" w:hanging="3"/>
              <w:spacing w:after="0" w:line="240" w:lineRule="auto"/>
              <w:rPr>
                <w:rFonts w:ascii="Times New Roman" w:hAnsi="Times New Roman"/>
                <w:color w:val="ffffff"/>
                <w:sz w:val="24"/>
              </w:rPr>
            </w:pPr>
            <w:r/>
            <w:bookmarkStart w:id="1" w:name="SIGNERSTAMP1"/>
            <w:r>
              <w:rPr>
                <w:rFonts w:ascii="Times New Roman" w:hAnsi="Times New Roman"/>
                <w:color w:val="ffffff"/>
                <w:sz w:val="24"/>
              </w:rPr>
              <w:t xml:space="preserve">[горизонтальный штамп подписи 1]</w:t>
            </w:r>
            <w:bookmarkEnd w:id="1"/>
            <w:r/>
            <w:r/>
          </w:p>
          <w:p>
            <w:pPr>
              <w:ind w:left="142" w:hanging="142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</w:r>
            <w:r/>
          </w:p>
        </w:tc>
        <w:tc>
          <w:tcPr>
            <w:shd w:val="clear" w:color="auto" w:fill="auto"/>
            <w:tcMar>
              <w:left w:w="0" w:type="dxa"/>
              <w:right w:w="0" w:type="dxa"/>
            </w:tcMar>
            <w:tcW w:w="2554" w:type="dxa"/>
            <w:textDirection w:val="lrTb"/>
            <w:noWrap w:val="false"/>
          </w:tcPr>
          <w:p>
            <w:pPr>
              <w:ind w:right="135"/>
              <w:jc w:val="right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  <w:p>
            <w:pPr>
              <w:jc w:val="right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 xml:space="preserve">Е.А. Чекин</w:t>
            </w:r>
            <w:r/>
          </w:p>
        </w:tc>
      </w:tr>
    </w:tbl>
    <w:p>
      <w:r/>
      <w:r/>
    </w:p>
    <w:tbl>
      <w:tblPr>
        <w:tblStyle w:val="878"/>
        <w:tblW w:w="0" w:type="auto"/>
        <w:tblLayout w:type="fixed"/>
        <w:tblLook w:val="04A0" w:firstRow="1" w:lastRow="0" w:firstColumn="1" w:lastColumn="0" w:noHBand="0" w:noVBand="1"/>
      </w:tblPr>
      <w:tblGrid>
        <w:gridCol w:w="480"/>
        <w:gridCol w:w="480"/>
        <w:gridCol w:w="480"/>
        <w:gridCol w:w="3661"/>
        <w:gridCol w:w="480"/>
        <w:gridCol w:w="1869"/>
        <w:gridCol w:w="486"/>
        <w:gridCol w:w="1701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61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536" w:type="dxa"/>
            <w:textDirection w:val="lrTb"/>
            <w:noWrap w:val="false"/>
          </w:tcPr>
          <w:p>
            <w:pPr>
              <w:ind w:left="8079" w:hanging="8079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Приложение 1 к постановлению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61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536" w:type="dxa"/>
            <w:textDirection w:val="lrTb"/>
            <w:noWrap w:val="false"/>
          </w:tcPr>
          <w:p>
            <w:pPr>
              <w:ind w:left="8079" w:hanging="8079"/>
              <w:widowControl w:val="of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Правительства Камчатского края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61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869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color w:val="ffffff" w:themeColor="background1"/>
                <w:sz w:val="28"/>
              </w:rPr>
            </w:pPr>
            <w:r>
              <w:rPr>
                <w:rFonts w:ascii="Times New Roman" w:hAnsi="Times New Roman"/>
                <w:color w:val="ffffff" w:themeColor="background1"/>
                <w:sz w:val="28"/>
              </w:rPr>
              <w:t xml:space="preserve">[R</w:t>
            </w:r>
            <w:r>
              <w:rPr>
                <w:rFonts w:ascii="Times New Roman" w:hAnsi="Times New Roman"/>
                <w:color w:val="ffffff" w:themeColor="background1"/>
                <w:sz w:val="16"/>
              </w:rPr>
              <w:t xml:space="preserve">EGDATESTAMP]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6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№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701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color w:val="ffffff" w:themeColor="background1"/>
                <w:sz w:val="28"/>
              </w:rPr>
            </w:pPr>
            <w:r>
              <w:rPr>
                <w:rFonts w:ascii="Times New Roman" w:hAnsi="Times New Roman"/>
                <w:color w:val="ffffff" w:themeColor="background1"/>
                <w:sz w:val="28"/>
              </w:rPr>
              <w:t xml:space="preserve">[R</w:t>
            </w:r>
            <w:r>
              <w:rPr>
                <w:rFonts w:ascii="Times New Roman" w:hAnsi="Times New Roman"/>
                <w:color w:val="ffffff" w:themeColor="background1"/>
                <w:sz w:val="16"/>
              </w:rPr>
              <w:t xml:space="preserve">EGNUMSTAMP]</w:t>
            </w:r>
            <w:r/>
          </w:p>
        </w:tc>
      </w:tr>
    </w:tbl>
    <w:p>
      <w:pPr>
        <w:ind w:left="5244" w:firstLine="1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contextualSpacing/>
        <w:jc w:val="right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«Приложение 11</w:t>
      </w:r>
      <w:r/>
      <w:r/>
    </w:p>
    <w:p>
      <w:pPr>
        <w:contextualSpacing/>
        <w:jc w:val="right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к государственной программе</w:t>
      </w:r>
      <w:r/>
      <w:r/>
    </w:p>
    <w:p>
      <w:pPr>
        <w:contextualSpacing/>
        <w:jc w:val="right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Камчатского края «Развитие</w:t>
      </w:r>
      <w:r/>
      <w:r/>
    </w:p>
    <w:p>
      <w:pPr>
        <w:contextualSpacing/>
        <w:jc w:val="right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образования в Камчатском крае»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/>
    </w:p>
    <w:p>
      <w:pPr>
        <w:contextualSpacing/>
        <w:jc w:val="right"/>
        <w:spacing w:line="240" w:lineRule="auto"/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contextualSpacing/>
        <w:jc w:val="center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Порядок</w:t>
      </w:r>
      <w:r/>
      <w:r/>
    </w:p>
    <w:p>
      <w:pPr>
        <w:contextualSpacing/>
        <w:jc w:val="center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предоставления и распределения субсидий местным</w:t>
      </w:r>
      <w:r/>
      <w:r/>
    </w:p>
    <w:p>
      <w:pPr>
        <w:contextualSpacing/>
        <w:jc w:val="center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бюджетам в рамках комплекса процессных мероприятий «Развитие</w:t>
      </w:r>
      <w:r/>
      <w:r/>
    </w:p>
    <w:p>
      <w:pPr>
        <w:contextualSpacing/>
        <w:jc w:val="center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инфраструктуры образования для сохранения здоровья ребенка» на реализацию </w:t>
      </w:r>
      <w:r>
        <w:rPr>
          <w:rFonts w:ascii="Times New Roman" w:hAnsi="Times New Roman" w:cs="Times New Roman"/>
          <w:sz w:val="28"/>
          <w:szCs w:val="28"/>
        </w:rPr>
        <w:t xml:space="preserve">мероприятий, направленных на проведение текущих, капитальных ремонтов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образовательных организаций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 и </w:t>
      </w:r>
      <w:r>
        <w:rPr>
          <w:rFonts w:ascii="Times New Roman" w:hAnsi="Times New Roman" w:cs="Times New Roman"/>
          <w:sz w:val="28"/>
          <w:szCs w:val="28"/>
          <w:highlight w:val="yellow"/>
        </w:rPr>
        <w:t xml:space="preserve">разработки проектно-сметной документации</w:t>
      </w:r>
      <w:r/>
      <w:r>
        <w:rPr>
          <w:rFonts w:ascii="Times New Roman" w:hAnsi="Times New Roman" w:cs="Times New Roman"/>
          <w:sz w:val="28"/>
          <w:szCs w:val="28"/>
          <w:highlight w:val="none"/>
        </w:rPr>
      </w:r>
      <w:r/>
    </w:p>
    <w:p>
      <w:pPr>
        <w:contextualSpacing/>
        <w:jc w:val="center"/>
        <w:spacing w:line="240" w:lineRule="auto"/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1. Настоящий Порядок разработан в соответствии со статьей 139 </w:t>
      </w:r>
      <w:r>
        <w:rPr>
          <w:rFonts w:ascii="Times New Roman" w:hAnsi="Times New Roman" w:cs="Times New Roman"/>
          <w:sz w:val="28"/>
          <w:szCs w:val="28"/>
        </w:rPr>
        <w:t xml:space="preserve">Бюджетного кодекса Российской Федерации, Правилами формирования,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предоставления и распределения субсидий из краевого бюджета бюджетам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образований в Камчатском крае, утвержденными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Камчатского края от 27.12.2019 № 566-П </w:t>
        <w:br/>
      </w:r>
      <w:r>
        <w:rPr>
          <w:rFonts w:ascii="Times New Roman" w:hAnsi="Times New Roman" w:cs="Times New Roman"/>
          <w:sz w:val="28"/>
          <w:szCs w:val="28"/>
        </w:rPr>
        <w:t xml:space="preserve">(далее – Правила), и регулирует вопросы предоставления и распределения </w:t>
      </w:r>
      <w:r>
        <w:rPr>
          <w:rFonts w:ascii="Times New Roman" w:hAnsi="Times New Roman" w:cs="Times New Roman"/>
          <w:sz w:val="28"/>
          <w:szCs w:val="28"/>
        </w:rPr>
        <w:t xml:space="preserve">субсидий из краевого бюджета местным бюджетам на реализацию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программ, направленных на достижение целей, показателей и </w:t>
      </w:r>
      <w:r>
        <w:rPr>
          <w:rFonts w:ascii="Times New Roman" w:hAnsi="Times New Roman" w:cs="Times New Roman"/>
          <w:sz w:val="28"/>
          <w:szCs w:val="28"/>
        </w:rPr>
        <w:t xml:space="preserve">результатов государственной программы Камчатского края «Развитие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в Камчатском крае», в рамках комплекса процессных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«Развитие инфраструктуры образования для сохранения здоровья ребенка» на </w:t>
      </w:r>
      <w:r>
        <w:rPr>
          <w:rFonts w:ascii="Times New Roman" w:hAnsi="Times New Roman" w:cs="Times New Roman"/>
          <w:sz w:val="28"/>
          <w:szCs w:val="28"/>
        </w:rPr>
        <w:t xml:space="preserve">реализацию мероприятий, направленных на проведение текущих, капитальных </w:t>
      </w:r>
      <w:r>
        <w:rPr>
          <w:rFonts w:ascii="Times New Roman" w:hAnsi="Times New Roman" w:cs="Times New Roman"/>
          <w:sz w:val="28"/>
          <w:szCs w:val="28"/>
        </w:rPr>
        <w:t xml:space="preserve">ремонтов образовательных организаций и разработку </w:t>
      </w:r>
      <w:r>
        <w:rPr>
          <w:rFonts w:ascii="Times New Roman" w:hAnsi="Times New Roman" w:cs="Times New Roman"/>
          <w:sz w:val="28"/>
          <w:szCs w:val="28"/>
          <w:highlight w:val="yellow"/>
        </w:rPr>
        <w:t xml:space="preserve">проектно-сметной документации</w:t>
      </w:r>
      <w:r/>
      <w:r>
        <w:rPr>
          <w:rFonts w:ascii="Times New Roman" w:hAnsi="Times New Roman" w:cs="Times New Roman"/>
          <w:sz w:val="28"/>
          <w:szCs w:val="28"/>
        </w:rPr>
        <w:t xml:space="preserve"> (далее – субсидии).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2. Субсидии предоставляются в целях софинанирования расходных </w:t>
      </w:r>
      <w:r>
        <w:rPr>
          <w:rFonts w:ascii="Times New Roman" w:hAnsi="Times New Roman" w:cs="Times New Roman"/>
          <w:sz w:val="28"/>
          <w:szCs w:val="28"/>
        </w:rPr>
        <w:t xml:space="preserve">обязательств, возникающих при выполнении полномочий органов местного </w:t>
      </w:r>
      <w:r>
        <w:rPr>
          <w:rFonts w:ascii="Times New Roman" w:hAnsi="Times New Roman" w:cs="Times New Roman"/>
          <w:sz w:val="28"/>
          <w:szCs w:val="28"/>
        </w:rPr>
        <w:t xml:space="preserve">самоуправления муниципальных образований в Камчатском крае </w:t>
      </w:r>
      <w:r>
        <w:rPr>
          <w:rFonts w:ascii="Times New Roman" w:hAnsi="Times New Roman" w:cs="Times New Roman"/>
          <w:sz w:val="28"/>
          <w:szCs w:val="28"/>
        </w:rPr>
        <w:t xml:space="preserve">(далее – муниципальные образования) по вопросам обеспечения содержания </w:t>
      </w:r>
      <w:r>
        <w:rPr>
          <w:rFonts w:ascii="Times New Roman" w:hAnsi="Times New Roman" w:cs="Times New Roman"/>
          <w:sz w:val="28"/>
          <w:szCs w:val="28"/>
        </w:rPr>
        <w:t xml:space="preserve">зданий и сооружений муниципальных образовательных организаций, </w:t>
      </w:r>
      <w:r>
        <w:rPr>
          <w:rFonts w:ascii="Times New Roman" w:hAnsi="Times New Roman" w:cs="Times New Roman"/>
          <w:sz w:val="28"/>
          <w:szCs w:val="28"/>
        </w:rPr>
        <w:t xml:space="preserve">обустройства прилегающих к ним территорий, на реализацию мероприятий, </w:t>
      </w:r>
      <w:r>
        <w:rPr>
          <w:rFonts w:ascii="Times New Roman" w:hAnsi="Times New Roman" w:cs="Times New Roman"/>
          <w:sz w:val="28"/>
          <w:szCs w:val="28"/>
        </w:rPr>
        <w:t xml:space="preserve">направленных на проведение текущих, капитальных ремонтов муниципальных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образовательных организаций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разработку </w:t>
      </w:r>
      <w:r>
        <w:rPr>
          <w:rFonts w:ascii="Times New Roman" w:hAnsi="Times New Roman" w:cs="Times New Roman"/>
          <w:sz w:val="28"/>
          <w:szCs w:val="28"/>
          <w:highlight w:val="yellow"/>
        </w:rPr>
        <w:t xml:space="preserve">проектно-сметной документации</w:t>
      </w:r>
      <w:r/>
      <w:r>
        <w:rPr>
          <w:rFonts w:ascii="Times New Roman" w:hAnsi="Times New Roman" w:cs="Times New Roman"/>
          <w:sz w:val="28"/>
          <w:szCs w:val="28"/>
        </w:rPr>
        <w:t xml:space="preserve">, в части: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1) проведения текущего и капитального ремонта зданий муниципальных </w:t>
      </w:r>
      <w:r/>
      <w:r/>
      <w:r>
        <w:rPr>
          <w:rFonts w:ascii="Times New Roman" w:hAnsi="Times New Roman" w:cs="Times New Roman"/>
          <w:sz w:val="28"/>
          <w:szCs w:val="28"/>
        </w:rPr>
        <w:t xml:space="preserve">образовательных организаций, в том числе их оснащения санитарногигиеническими помещениями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/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2) оснащения вновь вводимых в эксплуатацию зданий муниципальных </w:t>
      </w:r>
      <w:r/>
      <w:r/>
      <w:r>
        <w:rPr>
          <w:rFonts w:ascii="Times New Roman" w:hAnsi="Times New Roman" w:cs="Times New Roman"/>
          <w:sz w:val="28"/>
          <w:szCs w:val="28"/>
        </w:rPr>
        <w:t xml:space="preserve">образовательных организаций средствами обучения и воспитания;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  <w:highlight w:val="yellow"/>
        </w:rPr>
        <w:t xml:space="preserve">3) разработки проектно-сметной документации.</w:t>
      </w:r>
      <w:r>
        <w:rPr>
          <w:rFonts w:ascii="Times New Roman" w:hAnsi="Times New Roman" w:cs="Times New Roman"/>
          <w:sz w:val="28"/>
          <w:szCs w:val="28"/>
          <w:highlight w:val="yellow"/>
        </w:rPr>
      </w:r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3. Субсидии предоставляются в пределах лимитов бюджетных </w:t>
      </w:r>
      <w:r>
        <w:rPr>
          <w:rFonts w:ascii="Times New Roman" w:hAnsi="Times New Roman" w:cs="Times New Roman"/>
          <w:sz w:val="28"/>
          <w:szCs w:val="28"/>
        </w:rPr>
        <w:t xml:space="preserve">обязательств, доведенных в установленном порядке до Министерства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Камчатского края (далее – Министерство) как получателя средств </w:t>
      </w:r>
      <w:r>
        <w:rPr>
          <w:rFonts w:ascii="Times New Roman" w:hAnsi="Times New Roman" w:cs="Times New Roman"/>
          <w:sz w:val="28"/>
          <w:szCs w:val="28"/>
        </w:rPr>
        <w:t xml:space="preserve">краевого бюджета, на цели, установленные настоящим Порядком.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4. Критериями отбора муниципальных образований для предоставления </w:t>
      </w:r>
      <w:r/>
      <w:r/>
      <w:r>
        <w:rPr>
          <w:rFonts w:ascii="Times New Roman" w:hAnsi="Times New Roman" w:cs="Times New Roman"/>
          <w:sz w:val="28"/>
          <w:szCs w:val="28"/>
        </w:rPr>
        <w:t xml:space="preserve">субсидий являются:</w:t>
      </w:r>
      <w:r/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1) наличие заявки муниципального образования о предоставлении из </w:t>
      </w:r>
      <w:r/>
      <w:r/>
      <w:r>
        <w:rPr>
          <w:rFonts w:ascii="Times New Roman" w:hAnsi="Times New Roman" w:cs="Times New Roman"/>
          <w:sz w:val="28"/>
          <w:szCs w:val="28"/>
        </w:rPr>
        <w:t xml:space="preserve">краевого бюджета субсидий, подписанной главой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либо уполномоченным им должностным лицом, представленной в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Министерство до 1 мая года, предшествующего году предоставления субсидии;</w:t>
      </w:r>
      <w:r/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2) наличие утвержденной муниципальной программы, направленной на </w:t>
      </w:r>
      <w:r>
        <w:rPr>
          <w:rFonts w:ascii="Times New Roman" w:hAnsi="Times New Roman" w:cs="Times New Roman"/>
          <w:sz w:val="28"/>
          <w:szCs w:val="28"/>
        </w:rPr>
        <w:t xml:space="preserve">реализацию мероприятий, указанных в части 2 настоящего Порядка.</w:t>
      </w:r>
      <w:r/>
      <w:r/>
    </w:p>
    <w:p>
      <w:pPr>
        <w:contextualSpacing/>
        <w:ind w:firstLine="708"/>
        <w:jc w:val="both"/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Условием предоставления субсидий местным бюджетам является </w:t>
      </w:r>
      <w:r>
        <w:rPr>
          <w:rFonts w:ascii="Times New Roman" w:hAnsi="Times New Roman" w:cs="Times New Roman"/>
          <w:sz w:val="28"/>
          <w:szCs w:val="28"/>
        </w:rPr>
        <w:t xml:space="preserve">заключение соглашения о предоставлении субсидии из краевого бюджета </w:t>
      </w:r>
      <w:r>
        <w:rPr>
          <w:rFonts w:ascii="Times New Roman" w:hAnsi="Times New Roman" w:cs="Times New Roman"/>
          <w:sz w:val="28"/>
          <w:szCs w:val="28"/>
        </w:rPr>
        <w:t xml:space="preserve">местному бюджету между Министерством и органом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(далее – соглашение о предоставлении субсидии), </w:t>
      </w:r>
      <w:r>
        <w:rPr>
          <w:rFonts w:ascii="Times New Roman" w:hAnsi="Times New Roman" w:cs="Times New Roman"/>
          <w:sz w:val="28"/>
          <w:szCs w:val="28"/>
        </w:rPr>
        <w:t xml:space="preserve">предусматривающего обязательства муниципального образования по </w:t>
      </w:r>
      <w:r>
        <w:rPr>
          <w:rFonts w:ascii="Times New Roman" w:hAnsi="Times New Roman" w:cs="Times New Roman"/>
          <w:sz w:val="28"/>
          <w:szCs w:val="28"/>
        </w:rPr>
        <w:t xml:space="preserve">исполнению расходных обязательств, в целях софинансирования которых </w:t>
      </w:r>
      <w:r>
        <w:rPr>
          <w:rFonts w:ascii="Times New Roman" w:hAnsi="Times New Roman" w:cs="Times New Roman"/>
          <w:sz w:val="28"/>
          <w:szCs w:val="28"/>
        </w:rPr>
        <w:t xml:space="preserve">предоставляется субсидия, и ответственность за неисполнение предусмотренных </w:t>
      </w:r>
      <w:r>
        <w:rPr>
          <w:rFonts w:ascii="Times New Roman" w:hAnsi="Times New Roman" w:cs="Times New Roman"/>
          <w:sz w:val="28"/>
          <w:szCs w:val="28"/>
        </w:rPr>
        <w:t xml:space="preserve">указанным соглашением обязательств. </w:t>
      </w:r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Заключение соглашений о предоставлении субсидий, предусмотренных </w:t>
      </w:r>
      <w:r>
        <w:rPr>
          <w:rFonts w:ascii="Times New Roman" w:hAnsi="Times New Roman" w:cs="Times New Roman"/>
          <w:sz w:val="28"/>
          <w:szCs w:val="28"/>
        </w:rPr>
        <w:t xml:space="preserve">законом Камчатского края о краевом бюджете на очередной финансовый год и </w:t>
      </w:r>
      <w:r>
        <w:rPr>
          <w:rFonts w:ascii="Times New Roman" w:hAnsi="Times New Roman" w:cs="Times New Roman"/>
          <w:sz w:val="28"/>
          <w:szCs w:val="28"/>
        </w:rPr>
        <w:t xml:space="preserve">плановый период, осуществляется до 15 февраля очередного финансового года, </w:t>
      </w:r>
      <w:r>
        <w:rPr>
          <w:rFonts w:ascii="Times New Roman" w:hAnsi="Times New Roman" w:cs="Times New Roman"/>
          <w:sz w:val="28"/>
          <w:szCs w:val="28"/>
        </w:rPr>
        <w:t xml:space="preserve">за исключением соглашений о предоставлении субсидий, бюджетные </w:t>
      </w:r>
      <w:r>
        <w:rPr>
          <w:rFonts w:ascii="Times New Roman" w:hAnsi="Times New Roman" w:cs="Times New Roman"/>
          <w:sz w:val="28"/>
          <w:szCs w:val="28"/>
        </w:rPr>
        <w:t xml:space="preserve">ассигнования на предоставление которых предусмотрены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законом Камчатского края о внесении изменений в закон Камчатского края о </w:t>
      </w:r>
      <w:r>
        <w:rPr>
          <w:rFonts w:ascii="Times New Roman" w:hAnsi="Times New Roman" w:cs="Times New Roman"/>
          <w:sz w:val="28"/>
          <w:szCs w:val="28"/>
        </w:rPr>
        <w:t xml:space="preserve">краевом бюджете и которые заключаются не позднее 30 календарных дней после </w:t>
      </w:r>
      <w:r>
        <w:rPr>
          <w:rFonts w:ascii="Times New Roman" w:hAnsi="Times New Roman" w:cs="Times New Roman"/>
          <w:sz w:val="28"/>
          <w:szCs w:val="28"/>
        </w:rPr>
        <w:t xml:space="preserve">дня вступления в силу указанного закона Камчатского края.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Соглашение о предоставлении субсидии заключается на срок, который не </w:t>
      </w:r>
      <w:r>
        <w:rPr>
          <w:rFonts w:ascii="Times New Roman" w:hAnsi="Times New Roman" w:cs="Times New Roman"/>
          <w:sz w:val="28"/>
          <w:szCs w:val="28"/>
        </w:rPr>
        <w:t xml:space="preserve">может быть менее срока, на который в установленном порядке утверждено </w:t>
      </w:r>
      <w:r>
        <w:rPr>
          <w:rFonts w:ascii="Times New Roman" w:hAnsi="Times New Roman" w:cs="Times New Roman"/>
          <w:sz w:val="28"/>
          <w:szCs w:val="28"/>
        </w:rPr>
        <w:t xml:space="preserve">распределение субсидий между муниципальными образованиями.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Соглашение о предоставлении субсидии и дополнительные соглашения к </w:t>
      </w:r>
      <w:r>
        <w:rPr>
          <w:rFonts w:ascii="Times New Roman" w:hAnsi="Times New Roman" w:cs="Times New Roman"/>
          <w:sz w:val="28"/>
          <w:szCs w:val="28"/>
        </w:rPr>
        <w:t xml:space="preserve">соглашению, предусматривающие внесение в него изменений и его расторжение </w:t>
      </w:r>
      <w:r>
        <w:rPr>
          <w:rFonts w:ascii="Times New Roman" w:hAnsi="Times New Roman" w:cs="Times New Roman"/>
          <w:sz w:val="28"/>
          <w:szCs w:val="28"/>
        </w:rPr>
        <w:t xml:space="preserve">заключаются в соответствии с типовыми формами соглашений, утвержденными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Министерством финансов Камчатского края.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В случаях, предусмотренных законодательством Российской Федерации и </w:t>
      </w:r>
      <w:r>
        <w:rPr>
          <w:rFonts w:ascii="Times New Roman" w:hAnsi="Times New Roman" w:cs="Times New Roman"/>
          <w:sz w:val="28"/>
          <w:szCs w:val="28"/>
        </w:rPr>
        <w:t xml:space="preserve">(или) законодательством Камчатского края, в соглашение о предоставлении </w:t>
      </w:r>
      <w:r>
        <w:rPr>
          <w:rFonts w:ascii="Times New Roman" w:hAnsi="Times New Roman" w:cs="Times New Roman"/>
          <w:sz w:val="28"/>
          <w:szCs w:val="28"/>
        </w:rPr>
        <w:t xml:space="preserve">субсидии могут быть внесены изменения. Внесение изменений в соглашение о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предоставлении субсидии оформляется в виде дополнительного соглашения. </w:t>
      </w:r>
      <w:r>
        <w:rPr>
          <w:rFonts w:ascii="Times New Roman" w:hAnsi="Times New Roman" w:cs="Times New Roman"/>
          <w:sz w:val="28"/>
          <w:szCs w:val="28"/>
        </w:rPr>
        <w:tab/>
        <w:t xml:space="preserve">Внесение в соглашение о предоставлении субсидии изменений, </w:t>
      </w:r>
      <w:r>
        <w:rPr>
          <w:rFonts w:ascii="Times New Roman" w:hAnsi="Times New Roman" w:cs="Times New Roman"/>
          <w:sz w:val="28"/>
          <w:szCs w:val="28"/>
        </w:rPr>
        <w:t xml:space="preserve">предусматривающих ухудшение значений результатов использования субсидии, </w:t>
      </w:r>
      <w:r>
        <w:rPr>
          <w:rFonts w:ascii="Times New Roman" w:hAnsi="Times New Roman" w:cs="Times New Roman"/>
          <w:sz w:val="28"/>
          <w:szCs w:val="28"/>
        </w:rPr>
        <w:t xml:space="preserve">увеличение сроков реализации мероприятий (результатов), предусмотренных </w:t>
      </w:r>
      <w:r>
        <w:rPr>
          <w:rFonts w:ascii="Times New Roman" w:hAnsi="Times New Roman" w:cs="Times New Roman"/>
          <w:sz w:val="28"/>
          <w:szCs w:val="28"/>
        </w:rPr>
        <w:t xml:space="preserve">соглашением, не допускается, за исключением случаев, если исполнение </w:t>
      </w:r>
      <w:r>
        <w:rPr>
          <w:rFonts w:ascii="Times New Roman" w:hAnsi="Times New Roman" w:cs="Times New Roman"/>
          <w:sz w:val="28"/>
          <w:szCs w:val="28"/>
        </w:rPr>
        <w:t xml:space="preserve">обязательств по соглашению оказалось невозможным вследствие обстоятельств, </w:t>
      </w:r>
      <w:r>
        <w:rPr>
          <w:rFonts w:ascii="Times New Roman" w:hAnsi="Times New Roman" w:cs="Times New Roman"/>
          <w:sz w:val="28"/>
          <w:szCs w:val="28"/>
        </w:rPr>
        <w:t xml:space="preserve">предусмотренных частью 28 Правил, изменения значений целевых показателей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государственной программы Камчатского края «Развитие образования в </w:t>
      </w:r>
      <w:r>
        <w:rPr>
          <w:rFonts w:ascii="Times New Roman" w:hAnsi="Times New Roman" w:cs="Times New Roman"/>
          <w:sz w:val="28"/>
          <w:szCs w:val="28"/>
        </w:rPr>
        <w:t xml:space="preserve">Камчатском крае» и (или) региональных проектов, а также в случае сокращения </w:t>
      </w:r>
      <w:r>
        <w:rPr>
          <w:rFonts w:ascii="Times New Roman" w:hAnsi="Times New Roman" w:cs="Times New Roman"/>
          <w:sz w:val="28"/>
          <w:szCs w:val="28"/>
        </w:rPr>
        <w:t xml:space="preserve">размера субсидии.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6. Основанием для отказа в предоставлении субсидии является </w:t>
      </w:r>
      <w:r/>
      <w:r/>
      <w:r>
        <w:rPr>
          <w:rFonts w:ascii="Times New Roman" w:hAnsi="Times New Roman" w:cs="Times New Roman"/>
          <w:sz w:val="28"/>
          <w:szCs w:val="28"/>
        </w:rPr>
        <w:t xml:space="preserve">несоответствие муниципального образования критериям отбора, установленным </w:t>
      </w:r>
      <w:r>
        <w:rPr>
          <w:rFonts w:ascii="Times New Roman" w:hAnsi="Times New Roman" w:cs="Times New Roman"/>
          <w:sz w:val="28"/>
          <w:szCs w:val="28"/>
        </w:rPr>
        <w:t xml:space="preserve">частью 4 настоящего Порядка, и (или) условию предоставления субсидии, </w:t>
      </w:r>
      <w:r>
        <w:rPr>
          <w:rFonts w:ascii="Times New Roman" w:hAnsi="Times New Roman" w:cs="Times New Roman"/>
          <w:sz w:val="28"/>
          <w:szCs w:val="28"/>
        </w:rPr>
        <w:t xml:space="preserve">установленному абзацем первым части 5 настоящего Порядка.</w:t>
      </w:r>
      <w:r/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7. Уровень софинансирования расходного обязательства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образования, в целях софинансирования которого предоставляется субсидия, за </w:t>
      </w:r>
      <w:r>
        <w:rPr>
          <w:rFonts w:ascii="Times New Roman" w:hAnsi="Times New Roman" w:cs="Times New Roman"/>
          <w:sz w:val="28"/>
          <w:szCs w:val="28"/>
        </w:rPr>
        <w:t xml:space="preserve">счет средств краевого бюджета составляет 99,5 процентов общего объема </w:t>
      </w:r>
      <w:r>
        <w:rPr>
          <w:rFonts w:ascii="Times New Roman" w:hAnsi="Times New Roman" w:cs="Times New Roman"/>
          <w:sz w:val="28"/>
          <w:szCs w:val="28"/>
        </w:rPr>
        <w:t xml:space="preserve">расходного обязательства муниципального образования.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В соглашении о предоставлении субсидии исходя из объема бюджетных </w:t>
      </w:r>
      <w:r>
        <w:rPr>
          <w:rFonts w:ascii="Times New Roman" w:hAnsi="Times New Roman" w:cs="Times New Roman"/>
          <w:sz w:val="28"/>
          <w:szCs w:val="28"/>
        </w:rPr>
        <w:t xml:space="preserve">ассигнований, предусмотренных в местном бюджете для полного исполнения </w:t>
      </w:r>
      <w:r>
        <w:rPr>
          <w:rFonts w:ascii="Times New Roman" w:hAnsi="Times New Roman" w:cs="Times New Roman"/>
          <w:sz w:val="28"/>
          <w:szCs w:val="28"/>
        </w:rPr>
        <w:t xml:space="preserve">расходного обязательства муниципального образования, может быть установлен </w:t>
      </w:r>
      <w:r>
        <w:rPr>
          <w:rFonts w:ascii="Times New Roman" w:hAnsi="Times New Roman" w:cs="Times New Roman"/>
          <w:sz w:val="28"/>
          <w:szCs w:val="28"/>
        </w:rPr>
        <w:t xml:space="preserve">уровень софинансирования расходного обязательства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за счет средств местного бюджета с превышением уровня </w:t>
      </w:r>
      <w:r>
        <w:rPr>
          <w:rFonts w:ascii="Times New Roman" w:hAnsi="Times New Roman" w:cs="Times New Roman"/>
          <w:sz w:val="28"/>
          <w:szCs w:val="28"/>
        </w:rPr>
        <w:t xml:space="preserve">софинансирования за счет средств местного бюджета, рассчитываемого с учетом </w:t>
      </w:r>
      <w:r>
        <w:rPr>
          <w:rFonts w:ascii="Times New Roman" w:hAnsi="Times New Roman" w:cs="Times New Roman"/>
          <w:sz w:val="28"/>
          <w:szCs w:val="28"/>
        </w:rPr>
        <w:t xml:space="preserve">уровня софинансирования за счет средств краевого бюджета, определенного в </w:t>
      </w:r>
      <w:r>
        <w:rPr>
          <w:rFonts w:ascii="Times New Roman" w:hAnsi="Times New Roman" w:cs="Times New Roman"/>
          <w:sz w:val="28"/>
          <w:szCs w:val="28"/>
        </w:rPr>
        <w:t xml:space="preserve">соответствии с настоящим Порядком. Указанное увеличение уровня </w:t>
      </w:r>
      <w:r>
        <w:rPr>
          <w:rFonts w:ascii="Times New Roman" w:hAnsi="Times New Roman" w:cs="Times New Roman"/>
          <w:sz w:val="28"/>
          <w:szCs w:val="28"/>
        </w:rPr>
        <w:t xml:space="preserve">софинансирования расходного обязательства муниципального образования за </w:t>
      </w:r>
      <w:r>
        <w:rPr>
          <w:rFonts w:ascii="Times New Roman" w:hAnsi="Times New Roman" w:cs="Times New Roman"/>
          <w:sz w:val="28"/>
          <w:szCs w:val="28"/>
        </w:rPr>
        <w:t xml:space="preserve">счет средств местного бюджета не влечет за собой обязательств по увеличению </w:t>
      </w:r>
      <w:r>
        <w:rPr>
          <w:rFonts w:ascii="Times New Roman" w:hAnsi="Times New Roman" w:cs="Times New Roman"/>
          <w:sz w:val="28"/>
          <w:szCs w:val="28"/>
        </w:rPr>
        <w:t xml:space="preserve">размера субсидии, предоставляемой за счет средств краевого бюджета.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8. Размер субсидии местному бюджету определяется по формуле: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/>
    </w:p>
    <w:p>
      <w:pPr>
        <w:contextualSpacing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/>
      <w:r/>
    </w:p>
    <w:p>
      <w:pPr>
        <w:contextualSpacing/>
        <w:jc w:val="center"/>
        <w:spacing w:line="240" w:lineRule="auto"/>
      </w:pPr>
      <w:r>
        <w:rPr>
          <w:rFonts w:ascii="Times New Roman" w:hAnsi="Times New Roman" w:cs="Times New Roman"/>
          <w:sz w:val="36"/>
          <w:szCs w:val="36"/>
        </w:rPr>
        <w:t xml:space="preserve">C</w:t>
      </w:r>
      <w:r>
        <w:rPr>
          <w:rFonts w:ascii="Times New Roman" w:hAnsi="Times New Roman" w:cs="Times New Roman"/>
          <w:sz w:val="36"/>
          <w:szCs w:val="36"/>
          <w:vertAlign w:val="subscript"/>
        </w:rPr>
        <w:t xml:space="preserve">j </w:t>
      </w:r>
      <w:r>
        <w:rPr>
          <w:rFonts w:ascii="Times New Roman" w:hAnsi="Times New Roman" w:cs="Times New Roman"/>
          <w:sz w:val="36"/>
          <w:szCs w:val="36"/>
          <w:vertAlign w:val="baseline"/>
        </w:rPr>
        <w:t xml:space="preserve">= C</w:t>
      </w:r>
      <w:r>
        <w:rPr>
          <w:rFonts w:ascii="Times New Roman" w:hAnsi="Times New Roman" w:cs="Times New Roman"/>
          <w:sz w:val="36"/>
          <w:szCs w:val="36"/>
          <w:vertAlign w:val="subscript"/>
        </w:rPr>
        <w:t xml:space="preserve">общ </w:t>
      </w:r>
      <m:oMath>
        <m:r>
          <w:rPr>
            <w:rFonts w:hint="default" w:ascii="Cambria Math" w:hAnsi="Cambria Math" w:eastAsia="Cambria Math" w:cs="Cambria Math"/>
            <w:sz w:val="36"/>
            <w:szCs w:val="36"/>
            <w:vertAlign w:val="subscript"/>
          </w:rPr>
          <m:rPr/>
          <m:t>×</m:t>
        </m:r>
      </m:oMath>
      <w:r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</w:r>
      <m:oMath>
        <m:f>
          <m:fPr>
            <m:ctrlPr>
              <w:rPr>
                <w:rFonts w:ascii="Cambria Math" w:hAnsi="Cambria Math" w:eastAsia="Cambria Math" w:cs="Cambria Math"/>
                <w:i/>
                <w:sz w:val="36"/>
                <w:szCs w:val="28"/>
              </w:rPr>
            </m:ctrlPr>
          </m:fPr>
          <m:num>
            <m:r>
              <w:rPr>
                <w:sz w:val="36"/>
                <w:szCs w:val="36"/>
              </w:rPr>
              <m:rPr/>
              <m:t>Рj</m:t>
            </m:r>
            <m:r>
              <w:rPr>
                <w:rFonts w:hint="default" w:ascii="Cambria Math" w:hAnsi="Cambria Math" w:eastAsia="Cambria Math" w:cs="Cambria Math"/>
                <w:sz w:val="36"/>
                <w:szCs w:val="36"/>
              </w:rPr>
              <m:rPr/>
              <m:t>×(N/100)</m:t>
            </m:r>
          </m:num>
          <m:den>
            <m:r>
              <w:rPr>
                <w:sz w:val="36"/>
                <w:szCs w:val="36"/>
              </w:rPr>
              <m:rPr/>
              <m:t>Робщ</m:t>
            </m:r>
            <m:r>
              <w:rPr>
                <w:rFonts w:hint="default" w:ascii="Cambria Math" w:hAnsi="Cambria Math" w:eastAsia="Cambria Math" w:cs="Cambria Math"/>
                <w:sz w:val="36"/>
                <w:szCs w:val="36"/>
              </w:rPr>
              <m:rPr/>
              <m:t>×(N/100)</m:t>
            </m:r>
          </m:den>
        </m:f>
      </m:oMath>
      <w:r>
        <w:rPr>
          <w:rFonts w:ascii="Times New Roman" w:hAnsi="Times New Roman" w:cs="Times New Roman"/>
          <w:sz w:val="28"/>
          <w:szCs w:val="28"/>
        </w:rPr>
        <w:t xml:space="preserve"> , где: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/>
    </w:p>
    <w:p>
      <w:pPr>
        <w:contextualSpacing/>
        <w:jc w:val="center"/>
        <w:spacing w:line="240" w:lineRule="auto"/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Cj</w:t>
      </w:r>
      <w:r>
        <w:rPr>
          <w:rFonts w:ascii="Times New Roman" w:hAnsi="Times New Roman" w:cs="Times New Roman"/>
          <w:sz w:val="28"/>
          <w:szCs w:val="28"/>
        </w:rPr>
        <w:t xml:space="preserve"> – размер субсидии, предоставляемой бюджету j-го муниципального </w:t>
      </w:r>
      <w:r/>
      <w:r/>
      <w:r>
        <w:rPr>
          <w:rFonts w:ascii="Times New Roman" w:hAnsi="Times New Roman" w:cs="Times New Roman"/>
          <w:sz w:val="28"/>
          <w:szCs w:val="28"/>
        </w:rPr>
        <w:t xml:space="preserve">образования на реализацию мероприятия;</w:t>
      </w:r>
      <w:r/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Cобщ – общий объем средств, предусмотренный на реализацию </w:t>
      </w:r>
      <w:r/>
      <w:r/>
      <w:r>
        <w:rPr>
          <w:rFonts w:ascii="Times New Roman" w:hAnsi="Times New Roman" w:cs="Times New Roman"/>
          <w:sz w:val="28"/>
          <w:szCs w:val="28"/>
        </w:rPr>
        <w:t xml:space="preserve">мероприятия, подлежащий распределению между муниципальными </w:t>
      </w:r>
      <w:r>
        <w:rPr>
          <w:rFonts w:ascii="Times New Roman" w:hAnsi="Times New Roman" w:cs="Times New Roman"/>
          <w:sz w:val="28"/>
          <w:szCs w:val="28"/>
        </w:rPr>
        <w:t xml:space="preserve">образованиями;</w:t>
      </w:r>
      <w:r/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Pj – потребность j-того муниципального образования на реализацию </w:t>
      </w:r>
      <w:r>
        <w:rPr>
          <w:rFonts w:ascii="Times New Roman" w:hAnsi="Times New Roman" w:cs="Times New Roman"/>
          <w:sz w:val="28"/>
          <w:szCs w:val="28"/>
        </w:rPr>
        <w:t xml:space="preserve">мероприятия;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Робщ – сумма потребности всех муниципальных образований, заявившихся </w:t>
      </w:r>
      <w:r/>
      <w:r/>
      <w:r>
        <w:rPr>
          <w:rFonts w:ascii="Times New Roman" w:hAnsi="Times New Roman" w:cs="Times New Roman"/>
          <w:sz w:val="28"/>
          <w:szCs w:val="28"/>
        </w:rPr>
        <w:t xml:space="preserve">на реализацию мероприятия;</w:t>
      </w:r>
      <w:r/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N – уровень софинансирования расходного обязательства муниципального </w:t>
      </w:r>
      <w:r/>
      <w:r/>
      <w:r>
        <w:rPr>
          <w:rFonts w:ascii="Times New Roman" w:hAnsi="Times New Roman" w:cs="Times New Roman"/>
          <w:sz w:val="28"/>
          <w:szCs w:val="28"/>
        </w:rPr>
        <w:t xml:space="preserve">образования из краевого бюджета, установленный частью 7 настоящего Порядка.</w:t>
      </w:r>
      <w:r/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9. Распределение субсидий между муниципальными образованиями </w:t>
      </w:r>
      <w:r>
        <w:rPr>
          <w:rFonts w:ascii="Times New Roman" w:hAnsi="Times New Roman" w:cs="Times New Roman"/>
          <w:sz w:val="28"/>
          <w:szCs w:val="28"/>
        </w:rPr>
        <w:t xml:space="preserve">утверждается законом Камчатского края о краевом бюджете на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соответствующий финансовый год и на плановый период. Объем субсидии </w:t>
      </w:r>
      <w:r>
        <w:rPr>
          <w:rFonts w:ascii="Times New Roman" w:hAnsi="Times New Roman" w:cs="Times New Roman"/>
          <w:sz w:val="28"/>
          <w:szCs w:val="28"/>
        </w:rPr>
        <w:t xml:space="preserve">местному бюджету в соответствующем финансовом году не может превышать </w:t>
      </w:r>
      <w:r>
        <w:rPr>
          <w:rFonts w:ascii="Times New Roman" w:hAnsi="Times New Roman" w:cs="Times New Roman"/>
          <w:sz w:val="28"/>
          <w:szCs w:val="28"/>
        </w:rPr>
        <w:t xml:space="preserve">объема средств на исполнение в этом финансовом году расходного обязательства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образования, в целях софинансирования которого </w:t>
      </w:r>
      <w:r>
        <w:rPr>
          <w:rFonts w:ascii="Times New Roman" w:hAnsi="Times New Roman" w:cs="Times New Roman"/>
          <w:sz w:val="28"/>
          <w:szCs w:val="28"/>
        </w:rPr>
        <w:t xml:space="preserve">предоставляется субсидия, с учетом предельного уровня софинансирования </w:t>
      </w:r>
      <w:r>
        <w:rPr>
          <w:rFonts w:ascii="Times New Roman" w:hAnsi="Times New Roman" w:cs="Times New Roman"/>
          <w:sz w:val="28"/>
          <w:szCs w:val="28"/>
        </w:rPr>
        <w:t xml:space="preserve">расходного обязательства муниципального образования за счет средств краевого </w:t>
      </w:r>
      <w:r>
        <w:rPr>
          <w:rFonts w:ascii="Times New Roman" w:hAnsi="Times New Roman" w:cs="Times New Roman"/>
          <w:sz w:val="28"/>
          <w:szCs w:val="28"/>
        </w:rPr>
        <w:t xml:space="preserve">бюджета.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Повторное распределение между муниципальными образованиями </w:t>
      </w:r>
      <w:r>
        <w:rPr>
          <w:rFonts w:ascii="Times New Roman" w:hAnsi="Times New Roman" w:cs="Times New Roman"/>
          <w:sz w:val="28"/>
          <w:szCs w:val="28"/>
        </w:rPr>
        <w:t xml:space="preserve">субсидий, предоставление которых было осуществлено в отчетном финансовом </w:t>
      </w:r>
      <w:r>
        <w:rPr>
          <w:rFonts w:ascii="Times New Roman" w:hAnsi="Times New Roman" w:cs="Times New Roman"/>
          <w:sz w:val="28"/>
          <w:szCs w:val="28"/>
        </w:rPr>
        <w:t xml:space="preserve">году и в текущем финансовом году обусловлено увеличением бюджетных </w:t>
      </w:r>
      <w:r>
        <w:rPr>
          <w:rFonts w:ascii="Times New Roman" w:hAnsi="Times New Roman" w:cs="Times New Roman"/>
          <w:sz w:val="28"/>
          <w:szCs w:val="28"/>
        </w:rPr>
        <w:t xml:space="preserve">ассигнований в соответствии с абзацем третьим пункта 3 статьи 95 Бюджетного </w:t>
      </w:r>
      <w:r>
        <w:rPr>
          <w:rFonts w:ascii="Times New Roman" w:hAnsi="Times New Roman" w:cs="Times New Roman"/>
          <w:sz w:val="28"/>
          <w:szCs w:val="28"/>
        </w:rPr>
        <w:t xml:space="preserve">кодекса Российской Федерации, не осуществляется.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10. В случаях и порядке, предусмотренных Законом Камчатского края </w:t>
      </w:r>
      <w:r>
        <w:rPr>
          <w:rFonts w:ascii="Times New Roman" w:hAnsi="Times New Roman" w:cs="Times New Roman"/>
          <w:sz w:val="28"/>
          <w:szCs w:val="28"/>
        </w:rPr>
        <w:t xml:space="preserve">от 11.09.2008 № 110 «О предоставлении отдельных межбюджетных трансфертов </w:t>
      </w:r>
      <w:r>
        <w:rPr>
          <w:rFonts w:ascii="Times New Roman" w:hAnsi="Times New Roman" w:cs="Times New Roman"/>
          <w:sz w:val="28"/>
          <w:szCs w:val="28"/>
        </w:rPr>
        <w:t xml:space="preserve">в Камчатском крае», могут быть внесены изменения в распределение объемов </w:t>
      </w:r>
      <w:r>
        <w:rPr>
          <w:rFonts w:ascii="Times New Roman" w:hAnsi="Times New Roman" w:cs="Times New Roman"/>
          <w:sz w:val="28"/>
          <w:szCs w:val="28"/>
        </w:rPr>
        <w:t xml:space="preserve">субсидий между муниципальными образованиями.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11. Результатами использования субсидии являются: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1) количество зданий образовательных организаций, в которых проведен </w:t>
      </w:r>
      <w:r>
        <w:rPr>
          <w:rFonts w:ascii="Times New Roman" w:hAnsi="Times New Roman" w:cs="Times New Roman"/>
          <w:sz w:val="28"/>
          <w:szCs w:val="28"/>
        </w:rPr>
        <w:t xml:space="preserve">капитальный или текущий ремонт, </w:t>
      </w:r>
      <w:r>
        <w:rPr>
          <w:rFonts w:ascii="Times New Roman" w:hAnsi="Times New Roman" w:cs="Times New Roman"/>
          <w:sz w:val="28"/>
          <w:szCs w:val="28"/>
          <w:highlight w:val="yellow"/>
        </w:rPr>
        <w:t xml:space="preserve">а также количество разработанных проектно-сметных документаций</w:t>
      </w:r>
      <w:r>
        <w:rPr>
          <w:rFonts w:ascii="Times New Roman" w:hAnsi="Times New Roman" w:cs="Times New Roman"/>
          <w:sz w:val="28"/>
          <w:szCs w:val="28"/>
        </w:rPr>
        <w:t xml:space="preserve"> по состоянию на 31 декабря года, в котором </w:t>
      </w:r>
      <w:r>
        <w:rPr>
          <w:rFonts w:ascii="Times New Roman" w:hAnsi="Times New Roman" w:cs="Times New Roman"/>
          <w:sz w:val="28"/>
          <w:szCs w:val="28"/>
        </w:rPr>
        <w:t xml:space="preserve">предоставляется субсидия;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2) количество вновь вводимых в эксплуатацию зданий образовательных </w:t>
      </w:r>
      <w:r>
        <w:rPr>
          <w:rFonts w:ascii="Times New Roman" w:hAnsi="Times New Roman" w:cs="Times New Roman"/>
          <w:sz w:val="28"/>
          <w:szCs w:val="28"/>
        </w:rPr>
        <w:t xml:space="preserve">организаций, оснащенных средствами обучения и воспитания по состоянию на </w:t>
      </w:r>
      <w:r>
        <w:rPr>
          <w:rFonts w:ascii="Times New Roman" w:hAnsi="Times New Roman" w:cs="Times New Roman"/>
          <w:sz w:val="28"/>
          <w:szCs w:val="28"/>
        </w:rPr>
        <w:t xml:space="preserve">31 декабря года, в котором предоставляется субсидия.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12. Значения результатов использования субсидии устанавливаются в </w:t>
      </w:r>
      <w:r>
        <w:rPr>
          <w:rFonts w:ascii="Times New Roman" w:hAnsi="Times New Roman" w:cs="Times New Roman"/>
          <w:sz w:val="28"/>
          <w:szCs w:val="28"/>
        </w:rPr>
        <w:t xml:space="preserve">Соглашении о предоставлении субсидии.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13. Оценка эффективности использования субсидии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Министерством на основании сравнения значений результатов использования </w:t>
      </w:r>
      <w:r>
        <w:rPr>
          <w:rFonts w:ascii="Times New Roman" w:hAnsi="Times New Roman" w:cs="Times New Roman"/>
          <w:sz w:val="28"/>
          <w:szCs w:val="28"/>
        </w:rPr>
        <w:t xml:space="preserve">субсидии, установленных в соглашении о предоставлении субсидии, и </w:t>
      </w:r>
      <w:r>
        <w:rPr>
          <w:rFonts w:ascii="Times New Roman" w:hAnsi="Times New Roman" w:cs="Times New Roman"/>
          <w:sz w:val="28"/>
          <w:szCs w:val="28"/>
        </w:rPr>
        <w:t xml:space="preserve">фактически достигнутых по итогам отчетного года значений результатов 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использования субсидии.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14. Не использованная по состоянию на 1 января текущего финансового </w:t>
      </w:r>
      <w:r>
        <w:rPr>
          <w:rFonts w:ascii="Times New Roman" w:hAnsi="Times New Roman" w:cs="Times New Roman"/>
          <w:sz w:val="28"/>
          <w:szCs w:val="28"/>
        </w:rPr>
        <w:t xml:space="preserve">года субсидия, подлежит возврату в доход краевого бюджета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со статьей 242 Бюджетного кодекса Российской Федерации.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15. При невыполнении условий соглашения о предоставлении субсидии к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муниципальному образованию применяются меры финансовой ответственности </w:t>
      </w:r>
      <w:r>
        <w:rPr>
          <w:rFonts w:ascii="Times New Roman" w:hAnsi="Times New Roman" w:cs="Times New Roman"/>
          <w:sz w:val="28"/>
          <w:szCs w:val="28"/>
        </w:rPr>
        <w:t xml:space="preserve">по основаниям и в порядке, установленными Правилами.</w:t>
      </w:r>
      <w:r/>
      <w:r/>
    </w:p>
    <w:p>
      <w:pPr>
        <w:contextualSpacing/>
        <w:ind w:firstLine="708"/>
        <w:jc w:val="both"/>
        <w:spacing w:line="240" w:lineRule="auto"/>
      </w:pPr>
      <w:r>
        <w:rPr>
          <w:rFonts w:ascii="Times New Roman" w:hAnsi="Times New Roman" w:cs="Times New Roman"/>
          <w:sz w:val="28"/>
          <w:szCs w:val="28"/>
        </w:rPr>
        <w:t xml:space="preserve">16. Контроль за соблюдением муниципальными образованиями целей, </w:t>
      </w:r>
      <w:r>
        <w:rPr>
          <w:rFonts w:ascii="Times New Roman" w:hAnsi="Times New Roman" w:cs="Times New Roman"/>
          <w:sz w:val="28"/>
          <w:szCs w:val="28"/>
        </w:rPr>
        <w:t xml:space="preserve">порядка, условий предоставления и расходования субсидий из краевого </w:t>
      </w:r>
      <w:r>
        <w:rPr>
          <w:rFonts w:ascii="Times New Roman" w:hAnsi="Times New Roman" w:cs="Times New Roman"/>
          <w:sz w:val="28"/>
          <w:szCs w:val="28"/>
        </w:rPr>
        <w:t xml:space="preserve">бюджета, а также за соблюдением условий соглашений о предоставлении </w:t>
      </w:r>
      <w:r>
        <w:rPr>
          <w:rFonts w:ascii="Times New Roman" w:hAnsi="Times New Roman" w:cs="Times New Roman"/>
          <w:sz w:val="28"/>
          <w:szCs w:val="28"/>
        </w:rPr>
        <w:t xml:space="preserve">субсидий осуществляется Министерством и органами государственного </w:t>
      </w:r>
      <w:r>
        <w:rPr>
          <w:rFonts w:ascii="Times New Roman" w:hAnsi="Times New Roman" w:cs="Times New Roman"/>
          <w:sz w:val="28"/>
          <w:szCs w:val="28"/>
        </w:rPr>
        <w:t xml:space="preserve">финансового контроля.</w:t>
      </w:r>
      <w:r/>
      <w:r/>
    </w:p>
    <w:p>
      <w:pPr>
        <w:contextualSpacing/>
        <w:ind w:firstLine="708"/>
        <w:jc w:val="both"/>
        <w:spacing w:line="240" w:lineRule="auto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17. Министерство оформляет результаты проверок в порядке, </w:t>
      </w:r>
      <w:r>
        <w:rPr>
          <w:rFonts w:ascii="Times New Roman" w:hAnsi="Times New Roman" w:cs="Times New Roman"/>
          <w:sz w:val="28"/>
          <w:szCs w:val="28"/>
        </w:rPr>
        <w:t xml:space="preserve">установленном пунктами 48–59 Федерального стандарта внутреннего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государственного (муниципального) финансового контроля «Проведение </w:t>
      </w:r>
      <w:r>
        <w:rPr>
          <w:rFonts w:ascii="Times New Roman" w:hAnsi="Times New Roman" w:cs="Times New Roman"/>
          <w:sz w:val="28"/>
          <w:szCs w:val="28"/>
        </w:rPr>
        <w:t xml:space="preserve">проверок, ревизий и обследований и оформление их результатов», </w:t>
      </w:r>
      <w:r>
        <w:rPr>
          <w:rFonts w:ascii="Times New Roman" w:hAnsi="Times New Roman" w:cs="Times New Roman"/>
          <w:sz w:val="28"/>
          <w:szCs w:val="28"/>
        </w:rPr>
        <w:t xml:space="preserve">утвержденного постановлением Правительства Российской Федерации </w:t>
      </w:r>
      <w:r>
        <w:rPr>
          <w:rFonts w:ascii="Times New Roman" w:hAnsi="Times New Roman" w:cs="Times New Roman"/>
          <w:sz w:val="28"/>
          <w:szCs w:val="28"/>
        </w:rPr>
        <w:t xml:space="preserve">от 17.08.2020 № 1235.».</w:t>
      </w:r>
      <w:r/>
      <w:r/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shd w:val="ni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 w:clear="all"/>
      </w:r>
      <w:r>
        <w:rPr>
          <w:rFonts w:ascii="Times New Roman" w:hAnsi="Times New Roman"/>
          <w:sz w:val="28"/>
          <w:szCs w:val="28"/>
        </w:rPr>
      </w:r>
    </w:p>
    <w:p>
      <w:pPr>
        <w:ind w:left="5244" w:firstLine="1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tbl>
      <w:tblPr>
        <w:tblStyle w:val="878"/>
        <w:tblW w:w="0" w:type="auto"/>
        <w:tblLayout w:type="fixed"/>
        <w:tblLook w:val="04A0" w:firstRow="1" w:lastRow="0" w:firstColumn="1" w:lastColumn="0" w:noHBand="0" w:noVBand="1"/>
      </w:tblPr>
      <w:tblGrid>
        <w:gridCol w:w="480"/>
        <w:gridCol w:w="480"/>
        <w:gridCol w:w="480"/>
        <w:gridCol w:w="3661"/>
        <w:gridCol w:w="480"/>
        <w:gridCol w:w="1869"/>
        <w:gridCol w:w="486"/>
        <w:gridCol w:w="1701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61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536" w:type="dxa"/>
            <w:textDirection w:val="lrTb"/>
            <w:noWrap w:val="false"/>
          </w:tcPr>
          <w:p>
            <w:pPr>
              <w:ind w:left="8079" w:hanging="8079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 xml:space="preserve">Приложение 2 к постановлению</w:t>
            </w:r>
            <w:r>
              <w:rPr>
                <w:rFonts w:ascii="Times New Roman" w:hAnsi="Times New Roman"/>
                <w:sz w:val="28"/>
              </w:rPr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61" w:type="dxa"/>
            <w:textDirection w:val="lrTb"/>
            <w:noWrap w:val="false"/>
          </w:tcPr>
          <w:p>
            <w:pPr>
              <w:ind w:left="8079" w:hanging="8079"/>
              <w:jc w:val="right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536" w:type="dxa"/>
            <w:textDirection w:val="lrTb"/>
            <w:noWrap w:val="false"/>
          </w:tcPr>
          <w:p>
            <w:pPr>
              <w:ind w:left="8079" w:hanging="8079"/>
              <w:widowControl w:val="off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 xml:space="preserve">Правительства Камчатского края</w:t>
            </w:r>
            <w:r>
              <w:rPr>
                <w:rFonts w:ascii="Times New Roman" w:hAnsi="Times New Roman"/>
                <w:sz w:val="28"/>
              </w:rPr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61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0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</w:t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869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color w:val="ffffff"/>
                <w:szCs w:val="28"/>
              </w:rPr>
            </w:pPr>
            <w:r>
              <w:rPr>
                <w:rFonts w:ascii="Times New Roman" w:hAnsi="Times New Roman"/>
                <w:color w:val="ffffff" w:themeColor="background1"/>
                <w:sz w:val="28"/>
              </w:rPr>
              <w:t xml:space="preserve">[R</w:t>
            </w:r>
            <w:r>
              <w:rPr>
                <w:rFonts w:ascii="Times New Roman" w:hAnsi="Times New Roman"/>
                <w:color w:val="ffffff" w:themeColor="background1"/>
                <w:sz w:val="16"/>
              </w:rPr>
              <w:t xml:space="preserve">EGDATESTAMP]</w:t>
            </w:r>
            <w:r>
              <w:rPr>
                <w:rFonts w:ascii="Times New Roman" w:hAnsi="Times New Roman"/>
                <w:color w:val="ffffff" w:themeColor="background1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486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 xml:space="preserve">№</w:t>
            </w:r>
            <w:r>
              <w:rPr>
                <w:rFonts w:ascii="Times New Roman" w:hAnsi="Times New Roman"/>
                <w:sz w:val="28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701" w:type="dxa"/>
            <w:textDirection w:val="lrTb"/>
            <w:noWrap w:val="false"/>
          </w:tcPr>
          <w:p>
            <w:pPr>
              <w:ind w:left="8079" w:hanging="8079"/>
              <w:jc w:val="right"/>
              <w:spacing w:after="60"/>
              <w:rPr>
                <w:rFonts w:ascii="Times New Roman" w:hAnsi="Times New Roman"/>
                <w:color w:val="ffffff"/>
                <w:szCs w:val="28"/>
              </w:rPr>
            </w:pPr>
            <w:r>
              <w:rPr>
                <w:rFonts w:ascii="Times New Roman" w:hAnsi="Times New Roman"/>
                <w:color w:val="ffffff" w:themeColor="background1"/>
                <w:sz w:val="28"/>
              </w:rPr>
              <w:t xml:space="preserve">[R</w:t>
            </w:r>
            <w:r>
              <w:rPr>
                <w:rFonts w:ascii="Times New Roman" w:hAnsi="Times New Roman"/>
                <w:color w:val="ffffff" w:themeColor="background1"/>
                <w:sz w:val="16"/>
              </w:rPr>
              <w:t xml:space="preserve">EGNUMSTAMP]</w:t>
            </w:r>
            <w:r>
              <w:rPr>
                <w:rFonts w:ascii="Times New Roman" w:hAnsi="Times New Roman"/>
                <w:color w:val="ffffff" w:themeColor="background1"/>
                <w:sz w:val="28"/>
              </w:rPr>
            </w:r>
            <w:r/>
          </w:p>
        </w:tc>
      </w:tr>
    </w:tbl>
    <w:p>
      <w:pPr>
        <w:ind w:left="5244" w:firstLine="1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left="5244" w:firstLine="1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/>
    </w:p>
    <w:p>
      <w:pPr>
        <w:ind w:left="5244" w:firstLine="1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«Приложение 14</w:t>
      </w:r>
      <w:r/>
    </w:p>
    <w:p>
      <w:pPr>
        <w:ind w:left="5244" w:firstLine="1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к государственной программе </w:t>
      </w:r>
      <w:r/>
    </w:p>
    <w:p>
      <w:pPr>
        <w:ind w:left="5244" w:firstLine="1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Камчатского края «Развитие </w:t>
      </w:r>
      <w:r/>
    </w:p>
    <w:p>
      <w:pPr>
        <w:ind w:left="5244" w:firstLine="1"/>
        <w:jc w:val="both"/>
        <w:spacing w:after="0" w:line="240" w:lineRule="auto"/>
      </w:pPr>
      <w:r>
        <w:rPr>
          <w:rFonts w:ascii="Times New Roman" w:hAnsi="Times New Roman"/>
          <w:sz w:val="28"/>
        </w:rPr>
        <w:t xml:space="preserve">образования в Камчатском крае»</w:t>
      </w:r>
      <w:r/>
    </w:p>
    <w:p>
      <w:pPr>
        <w:jc w:val="center"/>
        <w:spacing w:after="0" w:line="240" w:lineRule="auto"/>
      </w:pPr>
      <w:r/>
      <w:r/>
    </w:p>
    <w:p>
      <w:pPr>
        <w:jc w:val="center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Порядок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highlight w:val="white"/>
        </w:rPr>
      </w:r>
    </w:p>
    <w:p>
      <w:pPr>
        <w:contextualSpacing w:val="0"/>
        <w:jc w:val="center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предоставления и распределения субсидий из краевого бюджета местным бюджетам </w:t>
      </w:r>
      <w:r>
        <w:rPr>
          <w:rFonts w:ascii="Times New Roman" w:hAnsi="Times New Roman" w:cs="Times New Roman"/>
          <w:sz w:val="28"/>
          <w:highlight w:val="white"/>
        </w:rPr>
        <w:t xml:space="preserve">в рамках комплекса процессных мероприятий </w:t>
        <w:br/>
      </w:r>
      <w:r>
        <w:rPr>
          <w:rFonts w:ascii="Times New Roman" w:hAnsi="Times New Roman" w:cs="Times New Roman"/>
          <w:sz w:val="28"/>
          <w:highlight w:val="white"/>
        </w:rPr>
        <w:t xml:space="preserve">«Развитие инфраструктуры образования для сохранения здоровья ребенка»</w:t>
      </w:r>
      <w:r>
        <w:rPr>
          <w:rFonts w:ascii="Times New Roman" w:hAnsi="Times New Roman" w:cs="Times New Roman"/>
          <w:sz w:val="28"/>
          <w:highlight w:val="white"/>
        </w:rPr>
        <w:t xml:space="preserve"> на реализацию мероприятий по благоустройству территорий муниципальных образовательных организаций в Камчатском крае</w:t>
      </w:r>
      <w:r>
        <w:rPr>
          <w:rFonts w:ascii="Times New Roman" w:hAnsi="Times New Roman" w:cs="Times New Roman"/>
          <w:highlight w:val="white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highlight w:val="white"/>
        </w:rPr>
      </w:r>
    </w:p>
    <w:p>
      <w:pPr>
        <w:contextualSpacing w:val="0"/>
        <w:jc w:val="center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</w:r>
      <w:r>
        <w:rPr>
          <w:rFonts w:ascii="Times New Roman" w:hAnsi="Times New Roman" w:cs="Times New Roman"/>
          <w:sz w:val="28"/>
          <w:szCs w:val="28"/>
          <w:highlight w:val="white"/>
        </w:rPr>
      </w:r>
      <w:r>
        <w:rPr>
          <w:highlight w:val="white"/>
        </w:rPr>
      </w:r>
    </w:p>
    <w:p>
      <w:pPr>
        <w:contextualSpacing w:val="0"/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1. Настоящий Порядок разработан в соответст</w:t>
      </w:r>
      <w:r>
        <w:rPr>
          <w:rFonts w:ascii="Times New Roman" w:hAnsi="Times New Roman" w:cs="Times New Roman"/>
          <w:sz w:val="28"/>
          <w:highlight w:val="white"/>
        </w:rPr>
        <w:t xml:space="preserve">вии со </w:t>
      </w:r>
      <w:hyperlink r:id="rId11" w:tooltip="consultantplus://offline/ref=876EABA14E00E5D166A4ED7F77148AEC72217575CDA284491676A636F28CA108BD4DE706EAAFEF32BE20D621DF0AEECDB0DB767AE5B6l4xBA" w:history="1">
        <w:r>
          <w:rPr>
            <w:rFonts w:ascii="Times New Roman" w:hAnsi="Times New Roman" w:cs="Times New Roman"/>
            <w:sz w:val="28"/>
            <w:highlight w:val="white"/>
          </w:rPr>
          <w:t xml:space="preserve">статьей 139</w:t>
        </w:r>
      </w:hyperlink>
      <w:r>
        <w:rPr>
          <w:rFonts w:ascii="Times New Roman" w:hAnsi="Times New Roman" w:cs="Times New Roman"/>
          <w:sz w:val="28"/>
          <w:highlight w:val="white"/>
        </w:rPr>
        <w:t xml:space="preserve"> Бюджетного кодекса Российской Федерации, </w:t>
      </w:r>
      <w:hyperlink r:id="rId12" w:tooltip="consultantplus://offline/ref=876EABA14E00E5D166A4F3726178D6E8702E2F7FC4AA8A1B4A2AA061ADDCA75DFD0DE150A8E8E038EA719371D300BE82F58C6579E1AA49C486E8BEE9l2x0A" w:history="1">
        <w:r>
          <w:rPr>
            <w:rFonts w:ascii="Times New Roman" w:hAnsi="Times New Roman" w:cs="Times New Roman"/>
            <w:sz w:val="28"/>
            <w:highlight w:val="white"/>
          </w:rPr>
          <w:t xml:space="preserve">Правилами</w:t>
        </w:r>
      </w:hyperlink>
      <w:r>
        <w:rPr>
          <w:rFonts w:ascii="Times New Roman" w:hAnsi="Times New Roman" w:cs="Times New Roman"/>
          <w:sz w:val="28"/>
          <w:highlight w:val="white"/>
        </w:rPr>
        <w:t xml:space="preserve"> формирования, предоставления и распределения субсидий из кра</w:t>
      </w:r>
      <w:r>
        <w:rPr>
          <w:rFonts w:ascii="Times New Roman" w:hAnsi="Times New Roman" w:cs="Times New Roman"/>
          <w:sz w:val="28"/>
          <w:highlight w:val="white"/>
        </w:rPr>
        <w:t xml:space="preserve">евого бюджета бюджетам муниципальных образований в Камчатском крае, утвержденными постановлением Правительства Камчатского края от 27.12.2019 № 566-П </w:t>
        <w:br/>
        <w:t xml:space="preserve">(далее – Правила) и регулирует вопросы предоставления и распределения субсидий из краевого</w:t>
      </w:r>
      <w:r>
        <w:rPr>
          <w:rFonts w:ascii="Times New Roman" w:hAnsi="Times New Roman" w:cs="Times New Roman"/>
          <w:sz w:val="28"/>
          <w:highlight w:val="white"/>
        </w:rPr>
        <w:t xml:space="preserve"> бюджета местным</w:t>
      </w:r>
      <w:r>
        <w:rPr>
          <w:rFonts w:ascii="Times New Roman" w:hAnsi="Times New Roman" w:cs="Times New Roman"/>
          <w:sz w:val="28"/>
          <w:highlight w:val="white"/>
        </w:rPr>
        <w:t xml:space="preserve"> бюджетам на реализацию комплекса процессных мероприятий «Развитие инфраструктуры образования для сохранения здоровья ребенка» с целью реализации мероприятий по благоустройству территорий муниципальных образовательных организаций в Камчатском крае (далее –</w:t>
      </w:r>
      <w:r>
        <w:rPr>
          <w:rFonts w:ascii="Times New Roman" w:hAnsi="Times New Roman" w:cs="Times New Roman"/>
          <w:sz w:val="28"/>
          <w:highlight w:val="white"/>
        </w:rPr>
        <w:t xml:space="preserve"> субсидия).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2. Субсидии из краевого бюджета предоставляются в целях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расходных обязательств, возникающих при выполнении полномочий органов местного самоуправления муниципальных образований в Камчатском крае (далее – органы местного самоупра</w:t>
      </w:r>
      <w:r>
        <w:rPr>
          <w:rFonts w:ascii="Times New Roman" w:hAnsi="Times New Roman" w:cs="Times New Roman"/>
          <w:sz w:val="28"/>
          <w:highlight w:val="white"/>
        </w:rPr>
        <w:t xml:space="preserve">вления, муниципальные образования), по вопросам местного значения по обеспечению содержания зданий и сооружений муниципальных образовательных организаций, обустройство прилегающих к ним территорий в части реализации мероприятий по благоустройству территори</w:t>
      </w:r>
      <w:r>
        <w:rPr>
          <w:rFonts w:ascii="Times New Roman" w:hAnsi="Times New Roman" w:cs="Times New Roman"/>
          <w:sz w:val="28"/>
          <w:highlight w:val="white"/>
        </w:rPr>
        <w:t xml:space="preserve">й муниципальных образовательных организаций таких как: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1) ремонт и устройство асфальтобетонного покрытия, тротуаров, пешеходных дорожек и других покрытий;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2) ремонт и устройство лестниц, перил, ограждений (заборов), водных устройств, расположенных и относя</w:t>
      </w:r>
      <w:r>
        <w:rPr>
          <w:rFonts w:ascii="Times New Roman" w:hAnsi="Times New Roman" w:cs="Times New Roman"/>
          <w:sz w:val="28"/>
          <w:highlight w:val="white"/>
        </w:rPr>
        <w:t xml:space="preserve">щихся к территории образовательной организации;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3) ремонт и устройство уличных сетей наружного освещения, восстановления систем наружного освещения, элементов освещения (светильники, кронштейны, опоры и элементы опор, провода, кабели, источники питания).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3</w:t>
      </w:r>
      <w:r>
        <w:rPr>
          <w:rFonts w:ascii="Times New Roman" w:hAnsi="Times New Roman" w:cs="Times New Roman"/>
          <w:sz w:val="28"/>
          <w:highlight w:val="white"/>
        </w:rPr>
        <w:t xml:space="preserve">. Субсидии из краевого бюджета предоставляются в пределах лимитов бюджетных обязательств, доведенных в установленном порядке до Министерства образования Камчатского края (далее – Министерство) как получателя средств краевого бюджета, на цели, установленные</w:t>
      </w:r>
      <w:r>
        <w:rPr>
          <w:rFonts w:ascii="Times New Roman" w:hAnsi="Times New Roman" w:cs="Times New Roman"/>
          <w:sz w:val="28"/>
          <w:highlight w:val="white"/>
        </w:rPr>
        <w:t xml:space="preserve"> частью 2 настоящего Порядка.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4. Критериями отбора для предоставления субсидии являются: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pStyle w:val="690"/>
        <w:numPr>
          <w:ilvl w:val="0"/>
          <w:numId w:val="1"/>
        </w:numPr>
        <w:ind w:left="0" w:right="0"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 нуждаемость образовательных организаций в благоустройстве территории;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2)</w:t>
      </w:r>
      <w:r>
        <w:rPr>
          <w:rFonts w:ascii="Times New Roman" w:hAnsi="Times New Roman" w:cs="Times New Roman"/>
          <w:color w:val="000000" w:themeColor="text1"/>
          <w:sz w:val="28"/>
          <w:highlight w:val="white"/>
        </w:rPr>
        <w:t xml:space="preserve"> наличие заявки муниципального образования о предоставлении из краевого бюджета субсидий, подписанной главой муниципального образования либо </w:t>
      </w:r>
      <w:r>
        <w:rPr>
          <w:rFonts w:ascii="Times New Roman" w:hAnsi="Times New Roman" w:cs="Times New Roman"/>
          <w:color w:val="000000" w:themeColor="text1"/>
          <w:sz w:val="28"/>
          <w:highlight w:val="white"/>
        </w:rPr>
        <w:t xml:space="preserve">уполномоченными должност</w:t>
      </w:r>
      <w:r>
        <w:rPr>
          <w:rFonts w:ascii="Times New Roman" w:hAnsi="Times New Roman" w:cs="Times New Roman"/>
          <w:color w:val="000000" w:themeColor="text1"/>
          <w:sz w:val="28"/>
          <w:highlight w:val="white"/>
        </w:rPr>
        <w:t xml:space="preserve">ным лицом, представленной в Министерство до 01 мая года предшествующего году предоставления субсидии;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3) наличие сметной документации, составленной РИМ </w:t>
        <w:br/>
        <w:t xml:space="preserve">(ресурсно-индексным методом), подтверждающей стоимость работ по благоустройству территорий образовательных органи</w:t>
      </w:r>
      <w:r>
        <w:rPr>
          <w:rFonts w:ascii="Times New Roman" w:hAnsi="Times New Roman" w:cs="Times New Roman"/>
          <w:sz w:val="28"/>
          <w:highlight w:val="white"/>
        </w:rPr>
        <w:t xml:space="preserve">заций;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pStyle w:val="690"/>
        <w:ind w:left="0"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4) наличие выписки из решения представительного органа муниципального образования (гарантийное письмо) на соответствующий финансовый год о подтверждении ассигнований в местном бюджете в соответствующем финансовом году.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pStyle w:val="690"/>
        <w:ind w:left="0"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5. Условием предоставления суб</w:t>
      </w:r>
      <w:r>
        <w:rPr>
          <w:rFonts w:ascii="Times New Roman" w:hAnsi="Times New Roman" w:cs="Times New Roman"/>
          <w:sz w:val="28"/>
          <w:highlight w:val="white"/>
        </w:rPr>
        <w:t xml:space="preserve">сидий местным бюджетам является заключение соглашения о предоставлении субсидии из краевого бюджета местному бюджету между Министерством и органом местного самоуправления (далее – соглашение), предусматривающего обязательства муниципального образования по </w:t>
      </w:r>
      <w:r>
        <w:rPr>
          <w:rFonts w:ascii="Times New Roman" w:hAnsi="Times New Roman" w:cs="Times New Roman"/>
          <w:sz w:val="28"/>
          <w:highlight w:val="white"/>
        </w:rPr>
        <w:t xml:space="preserve">исполнению расходных обязательств, в целях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которых предоставляется субсидия, и ответственность за неисполнение предусмотренных указанным соглашением обязательств.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pStyle w:val="690"/>
        <w:ind w:left="0"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Заключение соглашений о предоставлении субсидий из краевого бюджета местным </w:t>
      </w:r>
      <w:r>
        <w:rPr>
          <w:rFonts w:ascii="Times New Roman" w:hAnsi="Times New Roman" w:cs="Times New Roman"/>
          <w:sz w:val="28"/>
          <w:highlight w:val="white"/>
        </w:rPr>
        <w:t xml:space="preserve">бюджетам, предусмотренных законом Камчатского края о краевом бюджете на очередной финансовый год и плановый период, осуществляется до 15 февраля очередного финансового года, за исключением соглашений о предоставлении субсидий, бюджетные ассигнования на пре</w:t>
      </w:r>
      <w:r>
        <w:rPr>
          <w:rFonts w:ascii="Times New Roman" w:hAnsi="Times New Roman" w:cs="Times New Roman"/>
          <w:sz w:val="28"/>
          <w:highlight w:val="white"/>
        </w:rPr>
        <w:t xml:space="preserve">доставление которых предусмотрены в соответствии с законом Камчатского края о внесении изменений в закон Камчатского края о краевом бюджете и которые заключаются не позднее 30 дней после дня вступления в силу указанного закона Камчатского края.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pStyle w:val="690"/>
        <w:ind w:left="0"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Соглашение </w:t>
      </w:r>
      <w:r>
        <w:rPr>
          <w:rFonts w:ascii="Times New Roman" w:hAnsi="Times New Roman" w:cs="Times New Roman"/>
          <w:sz w:val="28"/>
          <w:highlight w:val="white"/>
        </w:rPr>
        <w:t xml:space="preserve">о предоставлении субсидии заключается на срок, который не может быть менее срока, на который в установленном порядке утверждено распределение между муниципальными образованиями.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Соглашение о предоставлении субсидии и дополнительные соглашения к соглашению,</w:t>
      </w:r>
      <w:r>
        <w:rPr>
          <w:rFonts w:ascii="Times New Roman" w:hAnsi="Times New Roman" w:cs="Times New Roman"/>
          <w:sz w:val="28"/>
          <w:highlight w:val="white"/>
        </w:rPr>
        <w:t xml:space="preserve"> предусматривающие внесение в него изменений и его расторжение заключаются в соответствии с типовыми формами, утвержденными Министерством финансов Камчатского края.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В случаях, предусмотренных законодательством Российской Федерации и (или) законодательством</w:t>
      </w:r>
      <w:r>
        <w:rPr>
          <w:rFonts w:ascii="Times New Roman" w:hAnsi="Times New Roman" w:cs="Times New Roman"/>
          <w:sz w:val="28"/>
          <w:highlight w:val="white"/>
        </w:rPr>
        <w:t xml:space="preserve"> Камчатского края, в соглашение о предоставлении субсидии могут быть внесены изменения. Внесение изменений в соглашение оформляется в виде дополнительного соглашения.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Внесение в соглашение о предоставлении субсидии изменений, предусматривающих ухудшение зн</w:t>
      </w:r>
      <w:r>
        <w:rPr>
          <w:rFonts w:ascii="Times New Roman" w:hAnsi="Times New Roman" w:cs="Times New Roman"/>
          <w:sz w:val="28"/>
          <w:highlight w:val="white"/>
        </w:rPr>
        <w:t xml:space="preserve">ачений результатов использования субсидии, увеличение сроков реализации мероприятий (работ), предусмотренных соглашением, не допускается, за исключением случаев, если исполнение обязательств по соглашению оказалось невозможным вследствие обстоятельств, пре</w:t>
      </w:r>
      <w:r>
        <w:rPr>
          <w:rFonts w:ascii="Times New Roman" w:hAnsi="Times New Roman" w:cs="Times New Roman"/>
          <w:sz w:val="28"/>
          <w:highlight w:val="white"/>
        </w:rPr>
        <w:t xml:space="preserve">дусмотренных частью 28 Правил, изменения значений целевых показателей государственных программ Камчатского края и (или) региональных проектов, а также в случае сокращения субсидии.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Соглашение о предоставлении субсидии из краевого бюджета местному бюджету за счет средств, поступивших в краевой бюджет в случае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из федерального бюджета расходного обязательства Камчатского края по предоставлению субсидии местному бюджету </w:t>
      </w:r>
      <w:r>
        <w:rPr>
          <w:rFonts w:ascii="Times New Roman" w:hAnsi="Times New Roman" w:cs="Times New Roman"/>
          <w:sz w:val="28"/>
          <w:highlight w:val="white"/>
        </w:rPr>
        <w:t xml:space="preserve">в целях оказания финансовой поддержки выполнения органами местного самоуправления полномочий по решению вопросов местного значения, должно соответствовать требованиям, установленным правилами, предусмотренными абзацем первым пункта 3 статьи 132 Бюджетного </w:t>
      </w:r>
      <w:r>
        <w:rPr>
          <w:rFonts w:ascii="Times New Roman" w:hAnsi="Times New Roman" w:cs="Times New Roman"/>
          <w:sz w:val="28"/>
          <w:highlight w:val="white"/>
        </w:rPr>
        <w:t xml:space="preserve">кодекса Российской Федерации.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6. Основанием для отказа в предоставлении субсидии является несоответствие муниципального образования требованиям, установленным частью 4 настоящего Порядка и (или) условию предоставления субсидии, установленному частью 5 наст</w:t>
      </w:r>
      <w:r>
        <w:rPr>
          <w:rFonts w:ascii="Times New Roman" w:hAnsi="Times New Roman" w:cs="Times New Roman"/>
          <w:sz w:val="28"/>
          <w:highlight w:val="white"/>
        </w:rPr>
        <w:t xml:space="preserve">оящего Порядка.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pStyle w:val="690"/>
        <w:ind w:left="0"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7.</w:t>
      </w:r>
      <w:r>
        <w:rPr>
          <w:rFonts w:ascii="Times New Roman" w:hAnsi="Times New Roman" w:cs="Times New Roman"/>
          <w:sz w:val="28"/>
          <w:highlight w:val="white"/>
        </w:rPr>
        <w:t xml:space="preserve"> Уровень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расходного обязательства муниципального образования за счет средств краевого бюджета составляет 90 проценто</w:t>
      </w:r>
      <w:r>
        <w:rPr>
          <w:rFonts w:ascii="Times New Roman" w:hAnsi="Times New Roman" w:cs="Times New Roman"/>
          <w:sz w:val="28"/>
          <w:highlight w:val="white"/>
        </w:rPr>
        <w:t xml:space="preserve">в от общего объема расходного обязательства муниципального образования.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8. Увеличение уровня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</w:t>
      </w:r>
      <w:r>
        <w:rPr>
          <w:rFonts w:ascii="Times New Roman" w:hAnsi="Times New Roman" w:cs="Times New Roman"/>
          <w:sz w:val="28"/>
          <w:highlight w:val="white"/>
        </w:rPr>
        <w:t xml:space="preserve">ания</w:t>
      </w:r>
      <w:r>
        <w:rPr>
          <w:rFonts w:ascii="Times New Roman" w:hAnsi="Times New Roman" w:cs="Times New Roman"/>
          <w:sz w:val="28"/>
          <w:highlight w:val="white"/>
        </w:rPr>
        <w:t xml:space="preserve"> расходного обязательства муниципального образования за счет средств местного бюджета не влечет за собой обязательств по увеличению размера субсидии, предоставляемой за счет средств краевого бюджета.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540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В соглашении о предоставлении субсидии исходя из объ</w:t>
      </w:r>
      <w:r>
        <w:rPr>
          <w:rFonts w:ascii="Times New Roman" w:hAnsi="Times New Roman" w:cs="Times New Roman"/>
          <w:sz w:val="28"/>
          <w:highlight w:val="white"/>
        </w:rPr>
        <w:t xml:space="preserve">ема бюджетных ассигнований, предусмотренных в местном бюджете для полного исполнения расходного обязательства муниципального образования, может быть установлен уровень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расходного обязательства муниципального образования за счет средств мес</w:t>
      </w:r>
      <w:r>
        <w:rPr>
          <w:rFonts w:ascii="Times New Roman" w:hAnsi="Times New Roman" w:cs="Times New Roman"/>
          <w:sz w:val="28"/>
          <w:highlight w:val="white"/>
        </w:rPr>
        <w:t xml:space="preserve">тного бюджета с превышением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за счет средств местного бюджета, рассчитываемого с учетом уровня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за счет средств краевого бюджета, определенного в соответствии с настоящим Порядком. Указанное увеличение уровня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</w:t>
      </w:r>
      <w:r>
        <w:rPr>
          <w:rFonts w:ascii="Times New Roman" w:hAnsi="Times New Roman" w:cs="Times New Roman"/>
          <w:sz w:val="28"/>
          <w:highlight w:val="white"/>
        </w:rPr>
        <w:t xml:space="preserve">я</w:t>
      </w:r>
      <w:r>
        <w:rPr>
          <w:rFonts w:ascii="Times New Roman" w:hAnsi="Times New Roman" w:cs="Times New Roman"/>
          <w:sz w:val="28"/>
          <w:highlight w:val="white"/>
        </w:rPr>
        <w:t xml:space="preserve"> расходного обязательства муниципального образования за счет средств местного бюджета не влечет за собой обязательств по увеличению размера субсидии, предоставляемой за счет средств краевого бюджета.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9. Размер субсидии местному бюджету для реализации меро</w:t>
      </w:r>
      <w:r>
        <w:rPr>
          <w:rFonts w:ascii="Times New Roman" w:hAnsi="Times New Roman" w:cs="Times New Roman"/>
          <w:sz w:val="28"/>
          <w:highlight w:val="white"/>
        </w:rPr>
        <w:t xml:space="preserve">приятий, указанных в части 1 настоящего Порядка, определяется по формуле: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540"/>
        <w:jc w:val="center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color w:val="000000" w:themeColor="text1"/>
          <w:sz w:val="28"/>
          <w:highlight w:val="white"/>
        </w:rPr>
      </w:r>
      <w:r>
        <w:rPr>
          <w:rFonts w:ascii="Times New Roman" w:hAnsi="Times New Roman" w:cs="Times New Roman"/>
          <w:color w:val="000000" w:themeColor="text1"/>
          <w:sz w:val="28"/>
          <w:highlight w:val="whit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2000273" cy="615234"/>
                <wp:effectExtent l="0" t="0" r="0" b="0"/>
                <wp:docPr id="2" name="Picture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80473140" name="Picture 1"/>
                        <pic:cNvPicPr/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 rot="0" flipH="0" flipV="0">
                          <a:off x="0" y="0"/>
                          <a:ext cx="2000272" cy="6152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157.5pt;height:48.4pt;mso-wrap-distance-left:0.0pt;mso-wrap-distance-top:0.0pt;mso-wrap-distance-right:0.0pt;mso-wrap-distance-bottom:0.0pt;rotation:0;" stroked="false">
                <v:path textboxrect="0,0,0,0"/>
                <v:imagedata r:id="rId13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highlight w:val="white"/>
        </w:rPr>
        <w:t xml:space="preserve">, где: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jc w:val="center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540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Co</w:t>
      </w:r>
      <w:r>
        <w:rPr>
          <w:rFonts w:ascii="Times New Roman" w:hAnsi="Times New Roman" w:cs="Times New Roman"/>
          <w:sz w:val="28"/>
          <w:highlight w:val="white"/>
        </w:rPr>
        <w:t xml:space="preserve"> - общий объем ассигнований краевого бюджета, предусмотренный на реализацию комплекса процессных мероприятий, подлежащий распределению между муниципальными образованиями в Камчатском крае; 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540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j - количество муниципальных образований, соответствующих критерия</w:t>
      </w:r>
      <w:r>
        <w:rPr>
          <w:rFonts w:ascii="Times New Roman" w:hAnsi="Times New Roman" w:cs="Times New Roman"/>
          <w:sz w:val="28"/>
          <w:highlight w:val="white"/>
        </w:rPr>
        <w:t xml:space="preserve">м отбора муниципальных образований для предоставления субсидий и условиям предоставления субсидий, установленным частями 4 и 5 настоящего Порядка; 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540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Mj</w:t>
      </w:r>
      <w:r>
        <w:rPr>
          <w:rFonts w:ascii="Times New Roman" w:hAnsi="Times New Roman" w:cs="Times New Roman"/>
          <w:sz w:val="28"/>
          <w:highlight w:val="white"/>
        </w:rPr>
        <w:t xml:space="preserve"> - заявленная потребность j-</w:t>
      </w:r>
      <w:r>
        <w:rPr>
          <w:rFonts w:ascii="Times New Roman" w:hAnsi="Times New Roman" w:cs="Times New Roman"/>
          <w:sz w:val="28"/>
          <w:highlight w:val="white"/>
        </w:rPr>
        <w:t xml:space="preserve">го</w:t>
      </w:r>
      <w:r>
        <w:rPr>
          <w:rFonts w:ascii="Times New Roman" w:hAnsi="Times New Roman" w:cs="Times New Roman"/>
          <w:sz w:val="28"/>
          <w:highlight w:val="white"/>
        </w:rPr>
        <w:t xml:space="preserve"> муниципального образования в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софинансировании</w:t>
      </w:r>
      <w:r>
        <w:rPr>
          <w:rFonts w:ascii="Times New Roman" w:hAnsi="Times New Roman" w:cs="Times New Roman"/>
          <w:sz w:val="28"/>
          <w:highlight w:val="white"/>
        </w:rPr>
        <w:t xml:space="preserve"> комплекса процессных мероприя</w:t>
      </w:r>
      <w:r>
        <w:rPr>
          <w:rFonts w:ascii="Times New Roman" w:hAnsi="Times New Roman" w:cs="Times New Roman"/>
          <w:sz w:val="28"/>
          <w:highlight w:val="white"/>
        </w:rPr>
        <w:t xml:space="preserve">тий за счет средств краевого бюджета; 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540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Mj</w:t>
      </w:r>
      <w:r>
        <w:rPr>
          <w:rFonts w:ascii="Times New Roman" w:hAnsi="Times New Roman" w:cs="Times New Roman"/>
          <w:sz w:val="28"/>
          <w:highlight w:val="white"/>
        </w:rPr>
        <w:t xml:space="preserve"> - сумма заявленной потребности муниципальных образований в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софинансировании</w:t>
      </w:r>
      <w:r>
        <w:rPr>
          <w:rFonts w:ascii="Times New Roman" w:hAnsi="Times New Roman" w:cs="Times New Roman"/>
          <w:sz w:val="28"/>
          <w:highlight w:val="white"/>
        </w:rPr>
        <w:t xml:space="preserve"> комплекса процессных мероприятий за счет средств краевого бюджета; 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567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N - уровень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расходного обязательства муниципального о</w:t>
      </w:r>
      <w:r>
        <w:rPr>
          <w:rFonts w:ascii="Times New Roman" w:hAnsi="Times New Roman" w:cs="Times New Roman"/>
          <w:sz w:val="28"/>
          <w:highlight w:val="white"/>
        </w:rPr>
        <w:t xml:space="preserve">бразования из краевого бюджета, установленного действующим Порядком (в процентах).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8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10. Распределение субсидий между муниципальными образованиями утверждается законом Камчатского края о краевом бюджете на соответствующий финансовый год и на плановый период.</w:t>
      </w:r>
      <w:r>
        <w:rPr>
          <w:rFonts w:ascii="Times New Roman" w:hAnsi="Times New Roman" w:cs="Times New Roman"/>
          <w:sz w:val="28"/>
          <w:highlight w:val="white"/>
        </w:rPr>
        <w:t xml:space="preserve"> Объем субсидии местному бюджету в соответствующем финансовом году не может превышать объема средств на исполнение в этом финансовом году расходного обязательства муниципального образования, в целях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которого предоставляется субсидия, с уче</w:t>
      </w:r>
      <w:r>
        <w:rPr>
          <w:rFonts w:ascii="Times New Roman" w:hAnsi="Times New Roman" w:cs="Times New Roman"/>
          <w:sz w:val="28"/>
          <w:highlight w:val="white"/>
        </w:rPr>
        <w:t xml:space="preserve">том предельного уровня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расходного обязательства муниципального образования за счет средств краевого бюджета.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567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Повторное распределение между муниципальными образованиями субсидий, предоставление которых было осуществлено в отчетном финансово</w:t>
      </w:r>
      <w:r>
        <w:rPr>
          <w:rFonts w:ascii="Times New Roman" w:hAnsi="Times New Roman" w:cs="Times New Roman"/>
          <w:sz w:val="28"/>
          <w:highlight w:val="white"/>
        </w:rPr>
        <w:t xml:space="preserve">м году и в текущем финансовом году обусловлено увеличением бюджетных ассигнований в соответствии с абзацем третьим пункта 3 статьи 95 Бюджетного кодекса Российской Федерации, не осуществляется.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8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11. В случаях и порядке, предусмотренных Законом Камчатского к</w:t>
      </w:r>
      <w:r>
        <w:rPr>
          <w:rFonts w:ascii="Times New Roman" w:hAnsi="Times New Roman" w:cs="Times New Roman"/>
          <w:sz w:val="28"/>
          <w:highlight w:val="white"/>
        </w:rPr>
        <w:t xml:space="preserve">рая от 11.09.2008 № 110 «О предоставлении отдельных межбюджетных трансфертов в Камчатском крае», могут быть внесены изменения в распределение объемов субсидий между муниципальными образованиями.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left="0" w:right="0"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12. Результатом использования субсидий является количество об</w:t>
      </w:r>
      <w:r>
        <w:rPr>
          <w:rFonts w:ascii="Times New Roman" w:hAnsi="Times New Roman" w:cs="Times New Roman"/>
          <w:sz w:val="28"/>
          <w:highlight w:val="white"/>
        </w:rPr>
        <w:t xml:space="preserve">разовательных организаций, на территории которых реализованы мероприятия по благоустройству по состоянию на 31 декабря года предоставления субсидии.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Значение результата использования субсидии устанавливается в соглашении о предоставлении субсидии. 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13. Сро</w:t>
      </w:r>
      <w:r>
        <w:rPr>
          <w:rFonts w:ascii="Times New Roman" w:hAnsi="Times New Roman" w:cs="Times New Roman"/>
          <w:sz w:val="28"/>
          <w:highlight w:val="white"/>
        </w:rPr>
        <w:t xml:space="preserve">ки и порядок предоставления отчетности об осуществлении расходов местного бюджета на реализацию расходного обязательства муниципального образования, в целях </w:t>
      </w:r>
      <w:r>
        <w:rPr>
          <w:rFonts w:ascii="Times New Roman" w:hAnsi="Times New Roman" w:cs="Times New Roman"/>
          <w:sz w:val="28"/>
          <w:highlight w:val="white"/>
        </w:rPr>
        <w:t xml:space="preserve">софинансирования</w:t>
      </w:r>
      <w:r>
        <w:rPr>
          <w:rFonts w:ascii="Times New Roman" w:hAnsi="Times New Roman" w:cs="Times New Roman"/>
          <w:sz w:val="28"/>
          <w:highlight w:val="white"/>
        </w:rPr>
        <w:t xml:space="preserve"> которого предоставляется субсидия, отчетности о достижении значений результатов ис</w:t>
      </w:r>
      <w:r>
        <w:rPr>
          <w:rFonts w:ascii="Times New Roman" w:hAnsi="Times New Roman" w:cs="Times New Roman"/>
          <w:sz w:val="28"/>
          <w:highlight w:val="white"/>
        </w:rPr>
        <w:t xml:space="preserve">пользования субсидии, устанавливаются соглашением о предоставлении субсидии.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14. Оценка эффективности использования субсидии осуществляется Министерством на основании сравнения значений результатов использования субсидии, установленных в соглашении, и факт</w:t>
      </w:r>
      <w:r>
        <w:rPr>
          <w:rFonts w:ascii="Times New Roman" w:hAnsi="Times New Roman" w:cs="Times New Roman"/>
          <w:sz w:val="28"/>
          <w:highlight w:val="white"/>
        </w:rPr>
        <w:t xml:space="preserve">ически достигнутых по итогам отчетного года значений результатов использования субсидии.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15. Не использованные по состоянию на 1 января текущего финансового года субсидии, подлежат возврату в доход краевого бюджета в соответствии со статьей 242 Бюджетного </w:t>
      </w:r>
      <w:r>
        <w:rPr>
          <w:rFonts w:ascii="Times New Roman" w:hAnsi="Times New Roman" w:cs="Times New Roman"/>
          <w:sz w:val="28"/>
          <w:highlight w:val="white"/>
        </w:rPr>
        <w:t xml:space="preserve">кодекса Российской Федерации.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16. При невыполнении условий соглашения о предоставлении субсидии к муниципальному образованию применяются меры финансовой ответственности по основаниям и в порядке, установленном Правилами.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17. Контроль за соблюдение</w:t>
      </w:r>
      <w:r>
        <w:rPr>
          <w:rFonts w:ascii="Times New Roman" w:hAnsi="Times New Roman" w:cs="Times New Roman"/>
          <w:sz w:val="28"/>
          <w:highlight w:val="white"/>
        </w:rPr>
        <w:t xml:space="preserve">м муниципальными образованиями целей, порядка, условий предоставления и расходования субсидий из краевого бюджета, а также за соблюдением условий соглашений об их предоставлении осуществляется Министерством и органами государственного финансового контроля.</w:t>
      </w:r>
      <w:r>
        <w:rPr>
          <w:rFonts w:ascii="Times New Roman" w:hAnsi="Times New Roman" w:cs="Times New Roman"/>
          <w:highlight w:val="white"/>
        </w:rPr>
      </w:r>
      <w:r>
        <w:rPr>
          <w:highlight w:val="white"/>
        </w:rPr>
      </w:r>
    </w:p>
    <w:p>
      <w:pPr>
        <w:ind w:firstLine="709"/>
        <w:jc w:val="both"/>
        <w:spacing w:after="0" w:afterAutospacing="0" w:line="240" w:lineRule="auto"/>
        <w:rPr>
          <w:rFonts w:ascii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highlight w:val="white"/>
        </w:rPr>
        <w:t xml:space="preserve">18. Министерство оформляет результаты проверок в порядке, установленном разделом IV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результатов», утвержд</w:t>
      </w:r>
      <w:r>
        <w:rPr>
          <w:rFonts w:ascii="Times New Roman" w:hAnsi="Times New Roman" w:cs="Times New Roman"/>
          <w:sz w:val="28"/>
          <w:highlight w:val="white"/>
        </w:rPr>
        <w:t xml:space="preserve">енного постановлением Правительства Российской Федерации от 17.08.2020 № 1235.».</w:t>
      </w:r>
      <w:r>
        <w:rPr>
          <w:rFonts w:ascii="Times New Roman" w:hAnsi="Times New Roman" w:cs="Times New Roman"/>
          <w:color w:val="000000" w:themeColor="text1"/>
          <w:highlight w:val="white"/>
        </w:rPr>
      </w:r>
      <w:r>
        <w:rPr>
          <w:highlight w:val="white"/>
        </w:rPr>
      </w:r>
    </w:p>
    <w:p>
      <w:r/>
      <w:r/>
    </w:p>
    <w:sectPr>
      <w:headerReference w:type="default" r:id="rId9"/>
      <w:footnotePr/>
      <w:endnotePr/>
      <w:type w:val="nextPage"/>
      <w:pgSz w:w="11906" w:h="16838" w:orient="portrait"/>
      <w:pgMar w:top="1134" w:right="851" w:bottom="1134" w:left="1418" w:header="567" w:footer="567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 Math">
    <w:panose1 w:val="02040503050406030204"/>
  </w:font>
  <w:font w:name="Segoe UI">
    <w:panose1 w:val="020B0503020204020204"/>
  </w:font>
  <w:font w:name="Calibri">
    <w:panose1 w:val="020F0502020204030204"/>
  </w:font>
  <w:font w:name="XO Thames">
    <w:panose1 w:val="020206030504050203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567530614"/>
      <w:docPartObj>
        <w:docPartGallery w:val="Page Numbers (Top of Page)"/>
        <w:docPartUnique w:val="true"/>
      </w:docPartObj>
      <w:rPr/>
    </w:sdtPr>
    <w:sdtContent>
      <w:p>
        <w:pPr>
          <w:pStyle w:val="840"/>
          <w:jc w:val="center"/>
          <w:rPr>
            <w:rFonts w:ascii="Times New Roman" w:hAnsi="Times New Roman"/>
            <w:sz w:val="28"/>
            <w:szCs w:val="28"/>
          </w:rPr>
        </w:pPr>
        <w:r>
          <w:rPr>
            <w:rFonts w:ascii="Times New Roman" w:hAnsi="Times New Roman"/>
            <w:sz w:val="28"/>
            <w:szCs w:val="28"/>
          </w:rPr>
          <w:fldChar w:fldCharType="begin"/>
        </w:r>
        <w:r>
          <w:rPr>
            <w:rFonts w:ascii="Times New Roman" w:hAnsi="Times New Roman"/>
            <w:sz w:val="28"/>
            <w:szCs w:val="28"/>
          </w:rPr>
          <w:instrText xml:space="preserve">PAGE   \* MERGEFORMAT</w:instrText>
        </w:r>
        <w:r>
          <w:rPr>
            <w:rFonts w:ascii="Times New Roman" w:hAnsi="Times New Roman"/>
            <w:sz w:val="28"/>
            <w:szCs w:val="28"/>
          </w:rPr>
          <w:fldChar w:fldCharType="separate"/>
        </w:r>
        <w:r>
          <w:rPr>
            <w:rFonts w:ascii="Times New Roman" w:hAnsi="Times New Roman"/>
            <w:sz w:val="28"/>
            <w:szCs w:val="28"/>
          </w:rPr>
          <w:t xml:space="preserve">7</w:t>
        </w:r>
        <w:r>
          <w:rPr>
            <w:rFonts w:ascii="Times New Roman" w:hAnsi="Times New Roman"/>
            <w:sz w:val="28"/>
            <w:szCs w:val="28"/>
          </w:rPr>
          <w:fldChar w:fldCharType="end"/>
        </w:r>
        <w:r/>
      </w:p>
    </w:sdtContent>
  </w:sdt>
  <w:p>
    <w:pPr>
      <w:pStyle w:val="84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/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eastAsia="Times New Roman" w:cs="Times New Roman" w:asciiTheme="minorHAnsi" w:hAnsiTheme="minorHAnsi"/>
        <w:color w:val="000000"/>
        <w:sz w:val="22"/>
        <w:lang w:val="ru-RU" w:eastAsia="ru-RU" w:bidi="ar-SA"/>
      </w:rPr>
    </w:rPrDefault>
    <w:pPrDefault>
      <w:pPr>
        <w:spacing w:before="0" w:beforeAutospacing="0" w:after="160" w:afterAutospacing="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0">
    <w:name w:val="Heading 6 Char"/>
    <w:basedOn w:val="678"/>
    <w:link w:val="674"/>
    <w:uiPriority w:val="9"/>
    <w:rPr>
      <w:rFonts w:ascii="Arial" w:hAnsi="Arial" w:eastAsia="Arial" w:cs="Arial"/>
      <w:b/>
      <w:bCs/>
      <w:sz w:val="22"/>
      <w:szCs w:val="22"/>
    </w:rPr>
  </w:style>
  <w:style w:type="character" w:styleId="661">
    <w:name w:val="Heading 7 Char"/>
    <w:basedOn w:val="678"/>
    <w:link w:val="67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2">
    <w:name w:val="Heading 8 Char"/>
    <w:basedOn w:val="678"/>
    <w:link w:val="676"/>
    <w:uiPriority w:val="9"/>
    <w:rPr>
      <w:rFonts w:ascii="Arial" w:hAnsi="Arial" w:eastAsia="Arial" w:cs="Arial"/>
      <w:i/>
      <w:iCs/>
      <w:sz w:val="22"/>
      <w:szCs w:val="22"/>
    </w:rPr>
  </w:style>
  <w:style w:type="character" w:styleId="663">
    <w:name w:val="Heading 9 Char"/>
    <w:basedOn w:val="678"/>
    <w:link w:val="677"/>
    <w:uiPriority w:val="9"/>
    <w:rPr>
      <w:rFonts w:ascii="Arial" w:hAnsi="Arial" w:eastAsia="Arial" w:cs="Arial"/>
      <w:i/>
      <w:iCs/>
      <w:sz w:val="21"/>
      <w:szCs w:val="21"/>
    </w:rPr>
  </w:style>
  <w:style w:type="character" w:styleId="664">
    <w:name w:val="Quote Char"/>
    <w:link w:val="694"/>
    <w:uiPriority w:val="29"/>
    <w:rPr>
      <w:i/>
    </w:rPr>
  </w:style>
  <w:style w:type="character" w:styleId="665">
    <w:name w:val="Intense Quote Char"/>
    <w:link w:val="696"/>
    <w:uiPriority w:val="30"/>
    <w:rPr>
      <w:i/>
    </w:rPr>
  </w:style>
  <w:style w:type="character" w:styleId="666">
    <w:name w:val="Footnote Text Char"/>
    <w:link w:val="827"/>
    <w:uiPriority w:val="99"/>
    <w:rPr>
      <w:sz w:val="18"/>
    </w:rPr>
  </w:style>
  <w:style w:type="character" w:styleId="667">
    <w:name w:val="Endnote Text Char"/>
    <w:link w:val="830"/>
    <w:uiPriority w:val="99"/>
    <w:rPr>
      <w:sz w:val="20"/>
    </w:rPr>
  </w:style>
  <w:style w:type="paragraph" w:styleId="668" w:default="1">
    <w:name w:val="Normal"/>
    <w:link w:val="835"/>
    <w:qFormat/>
  </w:style>
  <w:style w:type="paragraph" w:styleId="669">
    <w:name w:val="Heading 1"/>
    <w:next w:val="668"/>
    <w:link w:val="852"/>
    <w:uiPriority w:val="9"/>
    <w:qFormat/>
    <w:pPr>
      <w:jc w:val="both"/>
      <w:spacing w:before="120" w:after="120"/>
      <w:outlineLvl w:val="0"/>
    </w:pPr>
    <w:rPr>
      <w:rFonts w:ascii="XO Thames" w:hAnsi="XO Thames"/>
      <w:b/>
      <w:sz w:val="32"/>
    </w:rPr>
  </w:style>
  <w:style w:type="paragraph" w:styleId="670">
    <w:name w:val="Heading 2"/>
    <w:next w:val="668"/>
    <w:link w:val="877"/>
    <w:uiPriority w:val="9"/>
    <w:qFormat/>
    <w:pPr>
      <w:jc w:val="both"/>
      <w:spacing w:before="120" w:after="120"/>
      <w:outlineLvl w:val="1"/>
    </w:pPr>
    <w:rPr>
      <w:rFonts w:ascii="XO Thames" w:hAnsi="XO Thames"/>
      <w:b/>
      <w:sz w:val="28"/>
    </w:rPr>
  </w:style>
  <w:style w:type="paragraph" w:styleId="671">
    <w:name w:val="Heading 3"/>
    <w:next w:val="668"/>
    <w:link w:val="846"/>
    <w:uiPriority w:val="9"/>
    <w:qFormat/>
    <w:pPr>
      <w:jc w:val="both"/>
      <w:spacing w:before="120" w:after="120"/>
      <w:outlineLvl w:val="2"/>
    </w:pPr>
    <w:rPr>
      <w:rFonts w:ascii="XO Thames" w:hAnsi="XO Thames"/>
      <w:b/>
      <w:sz w:val="26"/>
    </w:rPr>
  </w:style>
  <w:style w:type="paragraph" w:styleId="672">
    <w:name w:val="Heading 4"/>
    <w:next w:val="668"/>
    <w:link w:val="876"/>
    <w:uiPriority w:val="9"/>
    <w:qFormat/>
    <w:pPr>
      <w:jc w:val="both"/>
      <w:spacing w:before="120" w:after="120"/>
      <w:outlineLvl w:val="3"/>
    </w:pPr>
    <w:rPr>
      <w:rFonts w:ascii="XO Thames" w:hAnsi="XO Thames"/>
      <w:b/>
      <w:sz w:val="24"/>
    </w:rPr>
  </w:style>
  <w:style w:type="paragraph" w:styleId="673">
    <w:name w:val="Heading 5"/>
    <w:next w:val="668"/>
    <w:link w:val="851"/>
    <w:uiPriority w:val="9"/>
    <w:qFormat/>
    <w:pPr>
      <w:jc w:val="both"/>
      <w:spacing w:before="120" w:after="120"/>
      <w:outlineLvl w:val="4"/>
    </w:pPr>
    <w:rPr>
      <w:rFonts w:ascii="XO Thames" w:hAnsi="XO Thames"/>
      <w:b/>
    </w:rPr>
  </w:style>
  <w:style w:type="paragraph" w:styleId="674">
    <w:name w:val="Heading 6"/>
    <w:basedOn w:val="668"/>
    <w:next w:val="668"/>
    <w:link w:val="68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Cs w:val="22"/>
    </w:rPr>
  </w:style>
  <w:style w:type="paragraph" w:styleId="675">
    <w:name w:val="Heading 7"/>
    <w:basedOn w:val="668"/>
    <w:next w:val="668"/>
    <w:link w:val="68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Cs w:val="22"/>
    </w:rPr>
  </w:style>
  <w:style w:type="paragraph" w:styleId="676">
    <w:name w:val="Heading 8"/>
    <w:basedOn w:val="668"/>
    <w:next w:val="668"/>
    <w:link w:val="68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Cs w:val="22"/>
    </w:rPr>
  </w:style>
  <w:style w:type="paragraph" w:styleId="677">
    <w:name w:val="Heading 9"/>
    <w:basedOn w:val="668"/>
    <w:next w:val="668"/>
    <w:link w:val="68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8" w:default="1">
    <w:name w:val="Default Paragraph Font"/>
    <w:uiPriority w:val="1"/>
    <w:semiHidden/>
    <w:unhideWhenUsed/>
  </w:style>
  <w:style w:type="table" w:styleId="67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0" w:default="1">
    <w:name w:val="No List"/>
    <w:uiPriority w:val="99"/>
    <w:semiHidden/>
    <w:unhideWhenUsed/>
  </w:style>
  <w:style w:type="character" w:styleId="681" w:customStyle="1">
    <w:name w:val="Heading 1 Char"/>
    <w:basedOn w:val="678"/>
    <w:uiPriority w:val="9"/>
    <w:rPr>
      <w:rFonts w:ascii="Arial" w:hAnsi="Arial" w:eastAsia="Arial" w:cs="Arial"/>
      <w:sz w:val="40"/>
      <w:szCs w:val="40"/>
    </w:rPr>
  </w:style>
  <w:style w:type="character" w:styleId="682" w:customStyle="1">
    <w:name w:val="Heading 2 Char"/>
    <w:basedOn w:val="678"/>
    <w:uiPriority w:val="9"/>
    <w:rPr>
      <w:rFonts w:ascii="Arial" w:hAnsi="Arial" w:eastAsia="Arial" w:cs="Arial"/>
      <w:sz w:val="34"/>
    </w:rPr>
  </w:style>
  <w:style w:type="character" w:styleId="683" w:customStyle="1">
    <w:name w:val="Heading 3 Char"/>
    <w:basedOn w:val="678"/>
    <w:uiPriority w:val="9"/>
    <w:rPr>
      <w:rFonts w:ascii="Arial" w:hAnsi="Arial" w:eastAsia="Arial" w:cs="Arial"/>
      <w:sz w:val="30"/>
      <w:szCs w:val="30"/>
    </w:rPr>
  </w:style>
  <w:style w:type="character" w:styleId="684" w:customStyle="1">
    <w:name w:val="Heading 4 Char"/>
    <w:basedOn w:val="678"/>
    <w:uiPriority w:val="9"/>
    <w:rPr>
      <w:rFonts w:ascii="Arial" w:hAnsi="Arial" w:eastAsia="Arial" w:cs="Arial"/>
      <w:b/>
      <w:bCs/>
      <w:sz w:val="26"/>
      <w:szCs w:val="26"/>
    </w:rPr>
  </w:style>
  <w:style w:type="character" w:styleId="685" w:customStyle="1">
    <w:name w:val="Heading 5 Char"/>
    <w:basedOn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86" w:customStyle="1">
    <w:name w:val="Заголовок 6 Знак"/>
    <w:basedOn w:val="678"/>
    <w:link w:val="674"/>
    <w:uiPriority w:val="9"/>
    <w:rPr>
      <w:rFonts w:ascii="Arial" w:hAnsi="Arial" w:eastAsia="Arial" w:cs="Arial"/>
      <w:b/>
      <w:bCs/>
      <w:sz w:val="22"/>
      <w:szCs w:val="22"/>
    </w:rPr>
  </w:style>
  <w:style w:type="character" w:styleId="687" w:customStyle="1">
    <w:name w:val="Заголовок 7 Знак"/>
    <w:basedOn w:val="678"/>
    <w:link w:val="67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88" w:customStyle="1">
    <w:name w:val="Заголовок 8 Знак"/>
    <w:basedOn w:val="678"/>
    <w:link w:val="676"/>
    <w:uiPriority w:val="9"/>
    <w:rPr>
      <w:rFonts w:ascii="Arial" w:hAnsi="Arial" w:eastAsia="Arial" w:cs="Arial"/>
      <w:i/>
      <w:iCs/>
      <w:sz w:val="22"/>
      <w:szCs w:val="22"/>
    </w:rPr>
  </w:style>
  <w:style w:type="character" w:styleId="689" w:customStyle="1">
    <w:name w:val="Заголовок 9 Знак"/>
    <w:basedOn w:val="678"/>
    <w:link w:val="677"/>
    <w:uiPriority w:val="9"/>
    <w:rPr>
      <w:rFonts w:ascii="Arial" w:hAnsi="Arial" w:eastAsia="Arial" w:cs="Arial"/>
      <w:i/>
      <w:iCs/>
      <w:sz w:val="21"/>
      <w:szCs w:val="21"/>
    </w:rPr>
  </w:style>
  <w:style w:type="paragraph" w:styleId="690">
    <w:name w:val="List Paragraph"/>
    <w:basedOn w:val="668"/>
    <w:uiPriority w:val="34"/>
    <w:qFormat/>
    <w:pPr>
      <w:contextualSpacing/>
      <w:ind w:left="720"/>
    </w:pPr>
  </w:style>
  <w:style w:type="paragraph" w:styleId="691">
    <w:name w:val="No Spacing"/>
    <w:uiPriority w:val="1"/>
    <w:qFormat/>
    <w:pPr>
      <w:spacing w:after="0" w:line="240" w:lineRule="auto"/>
    </w:pPr>
  </w:style>
  <w:style w:type="character" w:styleId="692" w:customStyle="1">
    <w:name w:val="Title Char"/>
    <w:basedOn w:val="678"/>
    <w:uiPriority w:val="10"/>
    <w:rPr>
      <w:sz w:val="48"/>
      <w:szCs w:val="48"/>
    </w:rPr>
  </w:style>
  <w:style w:type="character" w:styleId="693" w:customStyle="1">
    <w:name w:val="Subtitle Char"/>
    <w:basedOn w:val="678"/>
    <w:uiPriority w:val="11"/>
    <w:rPr>
      <w:sz w:val="24"/>
      <w:szCs w:val="24"/>
    </w:rPr>
  </w:style>
  <w:style w:type="paragraph" w:styleId="694">
    <w:name w:val="Quote"/>
    <w:basedOn w:val="668"/>
    <w:next w:val="668"/>
    <w:link w:val="695"/>
    <w:uiPriority w:val="29"/>
    <w:qFormat/>
    <w:pPr>
      <w:ind w:left="720" w:right="720"/>
    </w:pPr>
    <w:rPr>
      <w:i/>
    </w:rPr>
  </w:style>
  <w:style w:type="character" w:styleId="695" w:customStyle="1">
    <w:name w:val="Цитата 2 Знак"/>
    <w:link w:val="694"/>
    <w:uiPriority w:val="29"/>
    <w:rPr>
      <w:i/>
    </w:rPr>
  </w:style>
  <w:style w:type="paragraph" w:styleId="696">
    <w:name w:val="Intense Quote"/>
    <w:basedOn w:val="668"/>
    <w:next w:val="668"/>
    <w:link w:val="697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7" w:customStyle="1">
    <w:name w:val="Выделенная цитата Знак"/>
    <w:link w:val="696"/>
    <w:uiPriority w:val="30"/>
    <w:rPr>
      <w:i/>
    </w:rPr>
  </w:style>
  <w:style w:type="character" w:styleId="698" w:customStyle="1">
    <w:name w:val="Header Char"/>
    <w:basedOn w:val="678"/>
    <w:uiPriority w:val="99"/>
  </w:style>
  <w:style w:type="character" w:styleId="699" w:customStyle="1">
    <w:name w:val="Footer Char"/>
    <w:basedOn w:val="678"/>
    <w:uiPriority w:val="99"/>
  </w:style>
  <w:style w:type="paragraph" w:styleId="700">
    <w:name w:val="Caption"/>
    <w:basedOn w:val="668"/>
    <w:next w:val="668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01" w:customStyle="1">
    <w:name w:val="Caption Char"/>
    <w:uiPriority w:val="99"/>
  </w:style>
  <w:style w:type="table" w:styleId="702" w:customStyle="1">
    <w:name w:val="Table Grid Light"/>
    <w:basedOn w:val="679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03">
    <w:name w:val="Plain Table 1"/>
    <w:basedOn w:val="679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4">
    <w:name w:val="Plain Table 2"/>
    <w:basedOn w:val="679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5">
    <w:name w:val="Plain Table 3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6">
    <w:name w:val="Plain Table 4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Plain Table 5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8">
    <w:name w:val="Grid Table 1 Light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 w:customStyle="1">
    <w:name w:val="Grid Table 1 Light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 w:customStyle="1">
    <w:name w:val="Grid Table 1 Light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 w:customStyle="1">
    <w:name w:val="Grid Table 1 Light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2" w:customStyle="1">
    <w:name w:val="Grid Table 1 Light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 w:customStyle="1">
    <w:name w:val="Grid Table 1 Light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 w:customStyle="1">
    <w:name w:val="Grid Table 1 Light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 w:customStyle="1">
    <w:name w:val="Grid Table 2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 w:customStyle="1">
    <w:name w:val="Grid Table 2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 w:customStyle="1">
    <w:name w:val="Grid Table 2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 w:customStyle="1">
    <w:name w:val="Grid Table 2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 w:customStyle="1">
    <w:name w:val="Grid Table 2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 w:customStyle="1">
    <w:name w:val="Grid Table 2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 w:customStyle="1">
    <w:name w:val="Grid Table 3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 w:customStyle="1">
    <w:name w:val="Grid Table 3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3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3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3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3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4"/>
    <w:basedOn w:val="679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0" w:customStyle="1">
    <w:name w:val="Grid Table 4 - Accent 1"/>
    <w:basedOn w:val="679"/>
    <w:uiPriority w:val="5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31" w:customStyle="1">
    <w:name w:val="Grid Table 4 - Accent 2"/>
    <w:basedOn w:val="679"/>
    <w:uiPriority w:val="5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32" w:customStyle="1">
    <w:name w:val="Grid Table 4 - Accent 3"/>
    <w:basedOn w:val="679"/>
    <w:uiPriority w:val="5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33" w:customStyle="1">
    <w:name w:val="Grid Table 4 - Accent 4"/>
    <w:basedOn w:val="679"/>
    <w:uiPriority w:val="5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34" w:customStyle="1">
    <w:name w:val="Grid Table 4 - Accent 5"/>
    <w:basedOn w:val="679"/>
    <w:uiPriority w:val="5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35" w:customStyle="1">
    <w:name w:val="Grid Table 4 - Accent 6"/>
    <w:basedOn w:val="679"/>
    <w:uiPriority w:val="5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36">
    <w:name w:val="Grid Table 5 Dark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37" w:customStyle="1">
    <w:name w:val="Grid Table 5 Dark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38" w:customStyle="1">
    <w:name w:val="Grid Table 5 Dark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39" w:customStyle="1">
    <w:name w:val="Grid Table 5 Dark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40" w:customStyle="1">
    <w:name w:val="Grid Table 5 Dark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41" w:customStyle="1">
    <w:name w:val="Grid Table 5 Dark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42" w:customStyle="1">
    <w:name w:val="Grid Table 5 Dark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43">
    <w:name w:val="Grid Table 6 Colorful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44" w:customStyle="1">
    <w:name w:val="Grid Table 6 Colorful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45" w:customStyle="1">
    <w:name w:val="Grid Table 6 Colorful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46" w:customStyle="1">
    <w:name w:val="Grid Table 6 Colorful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47" w:customStyle="1">
    <w:name w:val="Grid Table 6 Colorful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48" w:customStyle="1">
    <w:name w:val="Grid Table 6 Colorful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49" w:customStyle="1">
    <w:name w:val="Grid Table 6 Colorful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50">
    <w:name w:val="Grid Table 7 Colorful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7F7F7F" w:themeColor="text1" w:themeTint="8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auto" w:sz="0" w:space="0"/>
          <w:left w:val="single" w:color="7F7F7F" w:themeColor="text1" w:themeTint="8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751" w:customStyle="1">
    <w:name w:val="Grid Table 7 Colorful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ACCCEA" w:themeColor="accent1" w:themeTint="8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auto" w:sz="0" w:space="0"/>
          <w:left w:val="single" w:color="ACCCEA" w:themeColor="accent1" w:themeTint="8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752" w:customStyle="1">
    <w:name w:val="Grid Table 7 Colorful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F4B184" w:themeColor="accent2" w:themeTint="97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auto" w:sz="0" w:space="0"/>
          <w:left w:val="single" w:color="F4B184" w:themeColor="accent2" w:themeTint="97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753" w:customStyle="1">
    <w:name w:val="Grid Table 7 Colorful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A5A5A5" w:themeColor="accent3" w:themeTint="FE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auto" w:sz="0" w:space="0"/>
          <w:left w:val="single" w:color="A5A5A5" w:themeColor="accent3" w:themeTint="FE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754" w:customStyle="1">
    <w:name w:val="Grid Table 7 Colorful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FFD865" w:themeColor="accent4" w:themeTint="9A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auto" w:sz="0" w:space="0"/>
          <w:left w:val="single" w:color="FFD865" w:themeColor="accent4" w:themeTint="9A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755" w:customStyle="1">
    <w:name w:val="Grid Table 7 Colorful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95AFDD" w:themeColor="accent5" w:themeTint="9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auto" w:sz="0" w:space="0"/>
          <w:left w:val="single" w:color="95AFDD" w:themeColor="accent5" w:themeTint="9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756" w:customStyle="1">
    <w:name w:val="Grid Table 7 Colorful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ADD394" w:themeColor="accent6" w:themeTint="9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auto" w:sz="0" w:space="0"/>
          <w:left w:val="single" w:color="ADD394" w:themeColor="accent6" w:themeTint="9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757">
    <w:name w:val="List Table 1 Light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 w:customStyle="1">
    <w:name w:val="List Table 1 Light - Accent 1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List Table 1 Light - Accent 2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List Table 1 Light - Accent 3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List Table 1 Light - Accent 4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List Table 1 Light - Accent 5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List Table 1 Light - Accent 6"/>
    <w:basedOn w:val="679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65" w:customStyle="1">
    <w:name w:val="List Table 2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766" w:customStyle="1">
    <w:name w:val="List Table 2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767" w:customStyle="1">
    <w:name w:val="List Table 2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768" w:customStyle="1">
    <w:name w:val="List Table 2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769" w:customStyle="1">
    <w:name w:val="List Table 2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770" w:customStyle="1">
    <w:name w:val="List Table 2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771">
    <w:name w:val="List Table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 w:customStyle="1">
    <w:name w:val="List Table 3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 w:customStyle="1">
    <w:name w:val="List Table 3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 w:customStyle="1">
    <w:name w:val="List Table 3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 w:customStyle="1">
    <w:name w:val="List Table 3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 w:customStyle="1">
    <w:name w:val="List Table 3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 w:customStyle="1">
    <w:name w:val="List Table 3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 w:customStyle="1">
    <w:name w:val="List Table 4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 w:customStyle="1">
    <w:name w:val="List Table 4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4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4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4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4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5 Dark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6" w:customStyle="1">
    <w:name w:val="List Table 5 Dark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7" w:customStyle="1">
    <w:name w:val="List Table 5 Dark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8" w:customStyle="1">
    <w:name w:val="List Table 5 Dark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89" w:customStyle="1">
    <w:name w:val="List Table 5 Dark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0" w:customStyle="1">
    <w:name w:val="List Table 5 Dark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1" w:customStyle="1">
    <w:name w:val="List Table 5 Dark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2">
    <w:name w:val="List Table 6 Colorful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793" w:customStyle="1">
    <w:name w:val="List Table 6 Colorful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5B9BD5" w:themeColor="accent1" w:sz="4" w:space="0"/>
        <w:bottom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794" w:customStyle="1">
    <w:name w:val="List Table 6 Colorful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4B184" w:themeColor="accent2" w:themeTint="97" w:sz="4" w:space="0"/>
        <w:bottom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795" w:customStyle="1">
    <w:name w:val="List Table 6 Colorful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8" w:sz="4" w:space="0"/>
        <w:bottom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796" w:customStyle="1">
    <w:name w:val="List Table 6 Colorful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D865" w:themeColor="accent4" w:themeTint="9A" w:sz="4" w:space="0"/>
        <w:bottom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797" w:customStyle="1">
    <w:name w:val="List Table 6 Colorful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8DA9DB" w:themeColor="accent5" w:themeTint="9A" w:sz="4" w:space="0"/>
        <w:bottom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798" w:customStyle="1">
    <w:name w:val="List Table 6 Colorful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A9D08E" w:themeColor="accent6" w:themeTint="98" w:sz="4" w:space="0"/>
        <w:bottom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799">
    <w:name w:val="List Table 7 Colorful"/>
    <w:basedOn w:val="67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7F7F7F" w:themeColor="text1" w:themeTint="80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auto" w:sz="0" w:space="0"/>
          <w:left w:val="single" w:color="7F7F7F" w:themeColor="text1" w:themeTint="80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00" w:customStyle="1">
    <w:name w:val="List Table 7 Colorful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5B9BD5" w:themeColor="accent1" w:sz="4" w:space="0"/>
      </w:tblBorders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5B9BD5" w:themeColor="accent1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auto" w:sz="0" w:space="0"/>
          <w:left w:val="single" w:color="5B9BD5" w:themeColor="accent1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01" w:customStyle="1">
    <w:name w:val="List Table 7 Colorful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4B184" w:themeColor="accent2" w:themeTint="97" w:sz="4" w:space="0"/>
      </w:tblBorders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F4B184" w:themeColor="accent2" w:themeTint="97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auto" w:sz="0" w:space="0"/>
          <w:left w:val="single" w:color="F4B184" w:themeColor="accent2" w:themeTint="97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02" w:customStyle="1">
    <w:name w:val="List Table 7 Colorful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9C9C9" w:themeColor="accent3" w:themeTint="98" w:sz="4" w:space="0"/>
      </w:tblBorders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C9C9C9" w:themeColor="accent3" w:themeTint="98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auto" w:sz="0" w:space="0"/>
          <w:left w:val="single" w:color="C9C9C9" w:themeColor="accent3" w:themeTint="98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03" w:customStyle="1">
    <w:name w:val="List Table 7 Colorful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FD865" w:themeColor="accent4" w:themeTint="9A" w:sz="4" w:space="0"/>
      </w:tblBorders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FFD865" w:themeColor="accent4" w:themeTint="9A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auto" w:sz="0" w:space="0"/>
          <w:left w:val="single" w:color="FFD865" w:themeColor="accent4" w:themeTint="9A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04" w:customStyle="1">
    <w:name w:val="List Table 7 Colorful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8DA9DB" w:themeColor="accent5" w:themeTint="9A" w:sz="4" w:space="0"/>
      </w:tblBorders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8DA9DB" w:themeColor="accent5" w:themeTint="9A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auto" w:sz="0" w:space="0"/>
          <w:left w:val="single" w:color="8DA9DB" w:themeColor="accent5" w:themeTint="9A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05" w:customStyle="1">
    <w:name w:val="List Table 7 Colorful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A9D08E" w:themeColor="accent6" w:themeTint="98" w:sz="4" w:space="0"/>
      </w:tblBorders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auto" w:sz="0" w:space="0"/>
          <w:left w:val="none" w:color="auto" w:sz="0" w:space="0"/>
          <w:bottom w:val="none" w:color="auto" w:sz="0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auto" w:sz="0" w:space="0"/>
          <w:left w:val="none" w:color="auto" w:sz="0" w:space="0"/>
          <w:bottom w:val="single" w:color="A9D08E" w:themeColor="accent6" w:themeTint="98" w:sz="4" w:space="0"/>
          <w:right w:val="none" w:color="auto" w:sz="0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auto" w:sz="0" w:space="0"/>
          <w:left w:val="single" w:color="A9D08E" w:themeColor="accent6" w:themeTint="98" w:sz="4" w:space="0"/>
          <w:bottom w:val="none" w:color="auto" w:sz="0" w:space="0"/>
          <w:right w:val="none" w:color="auto" w:sz="0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auto" w:sz="0" w:space="0"/>
          <w:bottom w:val="none" w:color="auto" w:sz="0" w:space="0"/>
          <w:right w:val="none" w:color="auto" w:sz="0" w:space="0"/>
        </w:tcBorders>
      </w:tcPr>
    </w:tblStylePr>
  </w:style>
  <w:style w:type="table" w:styleId="806" w:customStyle="1">
    <w:name w:val="Lined - Accent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07" w:customStyle="1">
    <w:name w:val="Lined - Accent 1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08" w:customStyle="1">
    <w:name w:val="Lined - Accent 2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09" w:customStyle="1">
    <w:name w:val="Lined - Accent 3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10" w:customStyle="1">
    <w:name w:val="Lined - Accent 4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11" w:customStyle="1">
    <w:name w:val="Lined - Accent 5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12" w:customStyle="1">
    <w:name w:val="Lined - Accent 6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13" w:customStyle="1">
    <w:name w:val="Bordered &amp; Lined - Accent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4" w:customStyle="1">
    <w:name w:val="Bordered &amp; Lined - Accent 1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15" w:customStyle="1">
    <w:name w:val="Bordered &amp; Lined - Accent 2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16" w:customStyle="1">
    <w:name w:val="Bordered &amp; Lined - Accent 3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17" w:customStyle="1">
    <w:name w:val="Bordered &amp; Lined - Accent 4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18" w:customStyle="1">
    <w:name w:val="Bordered &amp; Lined - Accent 5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19" w:customStyle="1">
    <w:name w:val="Bordered &amp; Lined - Accent 6"/>
    <w:basedOn w:val="679"/>
    <w:uiPriority w:val="99"/>
    <w:pPr>
      <w:spacing w:after="0" w:line="240" w:lineRule="auto"/>
    </w:pPr>
    <w:rPr>
      <w:color w:val="404040"/>
      <w:sz w:val="20"/>
    </w:rPr>
    <w:tblPr>
      <w:tblStyleRowBandSize w:val="1"/>
      <w:tblStyleColBandSize w:val="1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20" w:customStyle="1">
    <w:name w:val="Bordered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21" w:customStyle="1">
    <w:name w:val="Bordered - Accent 1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22" w:customStyle="1">
    <w:name w:val="Bordered - Accent 2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23" w:customStyle="1">
    <w:name w:val="Bordered - Accent 3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24" w:customStyle="1">
    <w:name w:val="Bordered - Accent 4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25" w:customStyle="1">
    <w:name w:val="Bordered - Accent 5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26" w:customStyle="1">
    <w:name w:val="Bordered - Accent 6"/>
    <w:basedOn w:val="679"/>
    <w:uiPriority w:val="99"/>
    <w:pPr>
      <w:spacing w:after="0" w:line="240" w:lineRule="auto"/>
    </w:pPr>
    <w:tblPr>
      <w:tblStyleRowBandSize w:val="1"/>
      <w:tblStyleColBandSize w:val="1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paragraph" w:styleId="827">
    <w:name w:val="footnote text"/>
    <w:basedOn w:val="668"/>
    <w:link w:val="828"/>
    <w:uiPriority w:val="99"/>
    <w:semiHidden/>
    <w:unhideWhenUsed/>
    <w:pPr>
      <w:spacing w:after="40" w:line="240" w:lineRule="auto"/>
    </w:pPr>
    <w:rPr>
      <w:sz w:val="18"/>
    </w:rPr>
  </w:style>
  <w:style w:type="character" w:styleId="828" w:customStyle="1">
    <w:name w:val="Текст сноски Знак"/>
    <w:link w:val="827"/>
    <w:uiPriority w:val="99"/>
    <w:rPr>
      <w:sz w:val="18"/>
    </w:rPr>
  </w:style>
  <w:style w:type="character" w:styleId="829">
    <w:name w:val="footnote reference"/>
    <w:basedOn w:val="678"/>
    <w:uiPriority w:val="99"/>
    <w:unhideWhenUsed/>
    <w:rPr>
      <w:vertAlign w:val="superscript"/>
    </w:rPr>
  </w:style>
  <w:style w:type="paragraph" w:styleId="830">
    <w:name w:val="endnote text"/>
    <w:basedOn w:val="668"/>
    <w:link w:val="831"/>
    <w:uiPriority w:val="99"/>
    <w:semiHidden/>
    <w:unhideWhenUsed/>
    <w:pPr>
      <w:spacing w:after="0" w:line="240" w:lineRule="auto"/>
    </w:pPr>
    <w:rPr>
      <w:sz w:val="20"/>
    </w:rPr>
  </w:style>
  <w:style w:type="character" w:styleId="831" w:customStyle="1">
    <w:name w:val="Текст концевой сноски Знак"/>
    <w:link w:val="830"/>
    <w:uiPriority w:val="99"/>
    <w:rPr>
      <w:sz w:val="20"/>
    </w:rPr>
  </w:style>
  <w:style w:type="character" w:styleId="832">
    <w:name w:val="endnote reference"/>
    <w:basedOn w:val="678"/>
    <w:uiPriority w:val="99"/>
    <w:semiHidden/>
    <w:unhideWhenUsed/>
    <w:rPr>
      <w:vertAlign w:val="superscript"/>
    </w:rPr>
  </w:style>
  <w:style w:type="paragraph" w:styleId="833">
    <w:name w:val="TOC Heading"/>
    <w:uiPriority w:val="39"/>
    <w:unhideWhenUsed/>
  </w:style>
  <w:style w:type="paragraph" w:styleId="834">
    <w:name w:val="table of figures"/>
    <w:basedOn w:val="668"/>
    <w:next w:val="668"/>
    <w:uiPriority w:val="99"/>
    <w:unhideWhenUsed/>
    <w:pPr>
      <w:spacing w:after="0"/>
    </w:pPr>
  </w:style>
  <w:style w:type="character" w:styleId="835" w:customStyle="1">
    <w:name w:val="Обычный1"/>
  </w:style>
  <w:style w:type="paragraph" w:styleId="836">
    <w:name w:val="toc 2"/>
    <w:next w:val="668"/>
    <w:link w:val="837"/>
    <w:uiPriority w:val="39"/>
    <w:pPr>
      <w:ind w:left="200"/>
    </w:pPr>
    <w:rPr>
      <w:rFonts w:ascii="XO Thames" w:hAnsi="XO Thames"/>
      <w:sz w:val="28"/>
    </w:rPr>
  </w:style>
  <w:style w:type="character" w:styleId="837" w:customStyle="1">
    <w:name w:val="Оглавление 2 Знак"/>
    <w:link w:val="836"/>
    <w:rPr>
      <w:rFonts w:ascii="XO Thames" w:hAnsi="XO Thames"/>
      <w:sz w:val="28"/>
    </w:rPr>
  </w:style>
  <w:style w:type="paragraph" w:styleId="838">
    <w:name w:val="toc 4"/>
    <w:next w:val="668"/>
    <w:link w:val="839"/>
    <w:uiPriority w:val="39"/>
    <w:pPr>
      <w:ind w:left="600"/>
    </w:pPr>
    <w:rPr>
      <w:rFonts w:ascii="XO Thames" w:hAnsi="XO Thames"/>
      <w:sz w:val="28"/>
    </w:rPr>
  </w:style>
  <w:style w:type="character" w:styleId="839" w:customStyle="1">
    <w:name w:val="Оглавление 4 Знак"/>
    <w:link w:val="838"/>
    <w:rPr>
      <w:rFonts w:ascii="XO Thames" w:hAnsi="XO Thames"/>
      <w:sz w:val="28"/>
    </w:rPr>
  </w:style>
  <w:style w:type="paragraph" w:styleId="840">
    <w:name w:val="Header"/>
    <w:basedOn w:val="668"/>
    <w:link w:val="841"/>
    <w:uiPriority w:val="99"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1" w:customStyle="1">
    <w:name w:val="Верхний колонтитул Знак"/>
    <w:basedOn w:val="835"/>
    <w:link w:val="840"/>
    <w:uiPriority w:val="99"/>
  </w:style>
  <w:style w:type="paragraph" w:styleId="842">
    <w:name w:val="toc 6"/>
    <w:next w:val="668"/>
    <w:link w:val="843"/>
    <w:uiPriority w:val="39"/>
    <w:pPr>
      <w:ind w:left="1000"/>
    </w:pPr>
    <w:rPr>
      <w:rFonts w:ascii="XO Thames" w:hAnsi="XO Thames"/>
      <w:sz w:val="28"/>
    </w:rPr>
  </w:style>
  <w:style w:type="character" w:styleId="843" w:customStyle="1">
    <w:name w:val="Оглавление 6 Знак"/>
    <w:link w:val="842"/>
    <w:rPr>
      <w:rFonts w:ascii="XO Thames" w:hAnsi="XO Thames"/>
      <w:sz w:val="28"/>
    </w:rPr>
  </w:style>
  <w:style w:type="paragraph" w:styleId="844">
    <w:name w:val="toc 7"/>
    <w:next w:val="668"/>
    <w:link w:val="845"/>
    <w:uiPriority w:val="39"/>
    <w:pPr>
      <w:ind w:left="1200"/>
    </w:pPr>
    <w:rPr>
      <w:rFonts w:ascii="XO Thames" w:hAnsi="XO Thames"/>
      <w:sz w:val="28"/>
    </w:rPr>
  </w:style>
  <w:style w:type="character" w:styleId="845" w:customStyle="1">
    <w:name w:val="Оглавление 7 Знак"/>
    <w:link w:val="844"/>
    <w:rPr>
      <w:rFonts w:ascii="XO Thames" w:hAnsi="XO Thames"/>
      <w:sz w:val="28"/>
    </w:rPr>
  </w:style>
  <w:style w:type="character" w:styleId="846" w:customStyle="1">
    <w:name w:val="Заголовок 3 Знак"/>
    <w:link w:val="671"/>
    <w:rPr>
      <w:rFonts w:ascii="XO Thames" w:hAnsi="XO Thames"/>
      <w:b/>
      <w:sz w:val="26"/>
    </w:rPr>
  </w:style>
  <w:style w:type="paragraph" w:styleId="847">
    <w:name w:val="Plain Text"/>
    <w:basedOn w:val="668"/>
    <w:link w:val="848"/>
    <w:pPr>
      <w:spacing w:after="0" w:line="240" w:lineRule="auto"/>
    </w:pPr>
    <w:rPr>
      <w:rFonts w:ascii="Calibri" w:hAnsi="Calibri"/>
    </w:rPr>
  </w:style>
  <w:style w:type="character" w:styleId="848" w:customStyle="1">
    <w:name w:val="Текст Знак"/>
    <w:basedOn w:val="835"/>
    <w:link w:val="847"/>
    <w:rPr>
      <w:rFonts w:ascii="Calibri" w:hAnsi="Calibri"/>
    </w:rPr>
  </w:style>
  <w:style w:type="paragraph" w:styleId="849">
    <w:name w:val="toc 3"/>
    <w:next w:val="668"/>
    <w:link w:val="850"/>
    <w:uiPriority w:val="39"/>
    <w:pPr>
      <w:ind w:left="400"/>
    </w:pPr>
    <w:rPr>
      <w:rFonts w:ascii="XO Thames" w:hAnsi="XO Thames"/>
      <w:sz w:val="28"/>
    </w:rPr>
  </w:style>
  <w:style w:type="character" w:styleId="850" w:customStyle="1">
    <w:name w:val="Оглавление 3 Знак"/>
    <w:link w:val="849"/>
    <w:rPr>
      <w:rFonts w:ascii="XO Thames" w:hAnsi="XO Thames"/>
      <w:sz w:val="28"/>
    </w:rPr>
  </w:style>
  <w:style w:type="character" w:styleId="851" w:customStyle="1">
    <w:name w:val="Заголовок 5 Знак"/>
    <w:link w:val="673"/>
    <w:rPr>
      <w:rFonts w:ascii="XO Thames" w:hAnsi="XO Thames"/>
      <w:b/>
      <w:sz w:val="22"/>
    </w:rPr>
  </w:style>
  <w:style w:type="character" w:styleId="852" w:customStyle="1">
    <w:name w:val="Заголовок 1 Знак"/>
    <w:link w:val="669"/>
    <w:rPr>
      <w:rFonts w:ascii="XO Thames" w:hAnsi="XO Thames"/>
      <w:b/>
      <w:sz w:val="32"/>
    </w:rPr>
  </w:style>
  <w:style w:type="paragraph" w:styleId="853" w:customStyle="1">
    <w:name w:val="Гиперссылка1"/>
    <w:basedOn w:val="861"/>
    <w:link w:val="854"/>
    <w:rPr>
      <w:color w:val="0563c1" w:themeColor="hyperlink"/>
      <w:u w:val="single"/>
    </w:rPr>
  </w:style>
  <w:style w:type="character" w:styleId="854">
    <w:name w:val="Hyperlink"/>
    <w:basedOn w:val="678"/>
    <w:link w:val="853"/>
    <w:rPr>
      <w:color w:val="0563c1" w:themeColor="hyperlink"/>
      <w:u w:val="single"/>
    </w:rPr>
  </w:style>
  <w:style w:type="paragraph" w:styleId="855" w:customStyle="1">
    <w:name w:val="Footnote"/>
    <w:link w:val="856"/>
    <w:pPr>
      <w:ind w:firstLine="851"/>
      <w:jc w:val="both"/>
    </w:pPr>
    <w:rPr>
      <w:rFonts w:ascii="XO Thames" w:hAnsi="XO Thames"/>
    </w:rPr>
  </w:style>
  <w:style w:type="character" w:styleId="856" w:customStyle="1">
    <w:name w:val="Footnote"/>
    <w:link w:val="855"/>
    <w:rPr>
      <w:rFonts w:ascii="XO Thames" w:hAnsi="XO Thames"/>
      <w:sz w:val="22"/>
    </w:rPr>
  </w:style>
  <w:style w:type="paragraph" w:styleId="857">
    <w:name w:val="toc 1"/>
    <w:next w:val="668"/>
    <w:link w:val="858"/>
    <w:uiPriority w:val="39"/>
    <w:rPr>
      <w:rFonts w:ascii="XO Thames" w:hAnsi="XO Thames"/>
      <w:b/>
      <w:sz w:val="28"/>
    </w:rPr>
  </w:style>
  <w:style w:type="character" w:styleId="858" w:customStyle="1">
    <w:name w:val="Оглавление 1 Знак"/>
    <w:link w:val="857"/>
    <w:rPr>
      <w:rFonts w:ascii="XO Thames" w:hAnsi="XO Thames"/>
      <w:b/>
      <w:sz w:val="28"/>
    </w:rPr>
  </w:style>
  <w:style w:type="paragraph" w:styleId="859" w:customStyle="1">
    <w:name w:val="Header and Footer"/>
    <w:link w:val="860"/>
    <w:pPr>
      <w:jc w:val="both"/>
      <w:spacing w:line="240" w:lineRule="auto"/>
    </w:pPr>
    <w:rPr>
      <w:rFonts w:ascii="XO Thames" w:hAnsi="XO Thames"/>
      <w:sz w:val="20"/>
    </w:rPr>
  </w:style>
  <w:style w:type="character" w:styleId="860" w:customStyle="1">
    <w:name w:val="Header and Footer"/>
    <w:link w:val="859"/>
    <w:rPr>
      <w:rFonts w:ascii="XO Thames" w:hAnsi="XO Thames"/>
      <w:sz w:val="20"/>
    </w:rPr>
  </w:style>
  <w:style w:type="paragraph" w:styleId="861" w:customStyle="1">
    <w:name w:val="Основной шрифт абзаца1"/>
  </w:style>
  <w:style w:type="paragraph" w:styleId="862">
    <w:name w:val="toc 9"/>
    <w:next w:val="668"/>
    <w:link w:val="863"/>
    <w:uiPriority w:val="39"/>
    <w:pPr>
      <w:ind w:left="1600"/>
    </w:pPr>
    <w:rPr>
      <w:rFonts w:ascii="XO Thames" w:hAnsi="XO Thames"/>
      <w:sz w:val="28"/>
    </w:rPr>
  </w:style>
  <w:style w:type="character" w:styleId="863" w:customStyle="1">
    <w:name w:val="Оглавление 9 Знак"/>
    <w:link w:val="862"/>
    <w:rPr>
      <w:rFonts w:ascii="XO Thames" w:hAnsi="XO Thames"/>
      <w:sz w:val="28"/>
    </w:rPr>
  </w:style>
  <w:style w:type="paragraph" w:styleId="864">
    <w:name w:val="toc 8"/>
    <w:next w:val="668"/>
    <w:link w:val="865"/>
    <w:uiPriority w:val="39"/>
    <w:pPr>
      <w:ind w:left="1400"/>
    </w:pPr>
    <w:rPr>
      <w:rFonts w:ascii="XO Thames" w:hAnsi="XO Thames"/>
      <w:sz w:val="28"/>
    </w:rPr>
  </w:style>
  <w:style w:type="character" w:styleId="865" w:customStyle="1">
    <w:name w:val="Оглавление 8 Знак"/>
    <w:link w:val="864"/>
    <w:rPr>
      <w:rFonts w:ascii="XO Thames" w:hAnsi="XO Thames"/>
      <w:sz w:val="28"/>
    </w:rPr>
  </w:style>
  <w:style w:type="paragraph" w:styleId="866">
    <w:name w:val="toc 5"/>
    <w:next w:val="668"/>
    <w:link w:val="867"/>
    <w:uiPriority w:val="39"/>
    <w:pPr>
      <w:ind w:left="800"/>
    </w:pPr>
    <w:rPr>
      <w:rFonts w:ascii="XO Thames" w:hAnsi="XO Thames"/>
      <w:sz w:val="28"/>
    </w:rPr>
  </w:style>
  <w:style w:type="character" w:styleId="867" w:customStyle="1">
    <w:name w:val="Оглавление 5 Знак"/>
    <w:link w:val="866"/>
    <w:rPr>
      <w:rFonts w:ascii="XO Thames" w:hAnsi="XO Thames"/>
      <w:sz w:val="28"/>
    </w:rPr>
  </w:style>
  <w:style w:type="paragraph" w:styleId="868">
    <w:name w:val="Subtitle"/>
    <w:next w:val="668"/>
    <w:link w:val="869"/>
    <w:uiPriority w:val="11"/>
    <w:qFormat/>
    <w:pPr>
      <w:jc w:val="both"/>
    </w:pPr>
    <w:rPr>
      <w:rFonts w:ascii="XO Thames" w:hAnsi="XO Thames"/>
      <w:i/>
      <w:sz w:val="24"/>
    </w:rPr>
  </w:style>
  <w:style w:type="character" w:styleId="869" w:customStyle="1">
    <w:name w:val="Подзаголовок Знак"/>
    <w:link w:val="868"/>
    <w:rPr>
      <w:rFonts w:ascii="XO Thames" w:hAnsi="XO Thames"/>
      <w:i/>
      <w:sz w:val="24"/>
    </w:rPr>
  </w:style>
  <w:style w:type="paragraph" w:styleId="870">
    <w:name w:val="Footer"/>
    <w:basedOn w:val="668"/>
    <w:link w:val="871"/>
    <w:pPr>
      <w:spacing w:after="0" w:line="240" w:lineRule="auto"/>
      <w:tabs>
        <w:tab w:val="center" w:pos="4677" w:leader="none"/>
        <w:tab w:val="right" w:pos="9355" w:leader="none"/>
      </w:tabs>
    </w:pPr>
    <w:rPr>
      <w:rFonts w:ascii="Times New Roman" w:hAnsi="Times New Roman"/>
      <w:sz w:val="28"/>
    </w:rPr>
  </w:style>
  <w:style w:type="character" w:styleId="871" w:customStyle="1">
    <w:name w:val="Нижний колонтитул Знак"/>
    <w:basedOn w:val="835"/>
    <w:link w:val="870"/>
    <w:rPr>
      <w:rFonts w:ascii="Times New Roman" w:hAnsi="Times New Roman"/>
      <w:sz w:val="28"/>
    </w:rPr>
  </w:style>
  <w:style w:type="paragraph" w:styleId="872">
    <w:name w:val="Title"/>
    <w:next w:val="668"/>
    <w:link w:val="873"/>
    <w:uiPriority w:val="10"/>
    <w:qFormat/>
    <w:pPr>
      <w:jc w:val="center"/>
      <w:spacing w:before="567" w:after="567"/>
    </w:pPr>
    <w:rPr>
      <w:rFonts w:ascii="XO Thames" w:hAnsi="XO Thames"/>
      <w:b/>
      <w:caps/>
      <w:sz w:val="40"/>
    </w:rPr>
  </w:style>
  <w:style w:type="character" w:styleId="873" w:customStyle="1">
    <w:name w:val="Заголовок Знак"/>
    <w:link w:val="872"/>
    <w:rPr>
      <w:rFonts w:ascii="XO Thames" w:hAnsi="XO Thames"/>
      <w:b/>
      <w:caps/>
      <w:sz w:val="40"/>
    </w:rPr>
  </w:style>
  <w:style w:type="paragraph" w:styleId="874">
    <w:name w:val="Balloon Text"/>
    <w:basedOn w:val="668"/>
    <w:link w:val="875"/>
    <w:pPr>
      <w:spacing w:after="0" w:line="240" w:lineRule="auto"/>
    </w:pPr>
    <w:rPr>
      <w:rFonts w:ascii="Segoe UI" w:hAnsi="Segoe UI"/>
      <w:sz w:val="18"/>
    </w:rPr>
  </w:style>
  <w:style w:type="character" w:styleId="875" w:customStyle="1">
    <w:name w:val="Текст выноски Знак"/>
    <w:basedOn w:val="835"/>
    <w:link w:val="874"/>
    <w:rPr>
      <w:rFonts w:ascii="Segoe UI" w:hAnsi="Segoe UI"/>
      <w:sz w:val="18"/>
    </w:rPr>
  </w:style>
  <w:style w:type="character" w:styleId="876" w:customStyle="1">
    <w:name w:val="Заголовок 4 Знак"/>
    <w:link w:val="672"/>
    <w:rPr>
      <w:rFonts w:ascii="XO Thames" w:hAnsi="XO Thames"/>
      <w:b/>
      <w:sz w:val="24"/>
    </w:rPr>
  </w:style>
  <w:style w:type="character" w:styleId="877" w:customStyle="1">
    <w:name w:val="Заголовок 2 Знак"/>
    <w:link w:val="670"/>
    <w:rPr>
      <w:rFonts w:ascii="XO Thames" w:hAnsi="XO Thames"/>
      <w:b/>
      <w:sz w:val="28"/>
    </w:rPr>
  </w:style>
  <w:style w:type="table" w:styleId="878">
    <w:name w:val="Table Grid"/>
    <w:basedOn w:val="67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879" w:customStyle="1">
    <w:name w:val="Сетка таблицы1"/>
    <w:basedOn w:val="679"/>
    <w:pPr>
      <w:spacing w:after="0" w:line="240" w:lineRule="auto"/>
    </w:pPr>
    <w:rPr>
      <w:rFonts w:ascii="Times New Roman" w:hAnsi="Times New Roman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880" w:customStyle="1">
    <w:name w:val="Сетка таблицы2"/>
    <w:basedOn w:val="679"/>
    <w:pPr>
      <w:spacing w:after="0" w:line="240" w:lineRule="auto"/>
    </w:pPr>
    <w:rPr>
      <w:rFonts w:ascii="Times New Roman" w:hAnsi="Times New Roman"/>
      <w:sz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1_1336" w:customStyle="1">
    <w:name w:val="ConsPlusTitle"/>
    <w:link w:val="1163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 w:color="000000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Arial" w:hAnsi="Arial" w:eastAsia="Times New Roman" w:cs="Times New Roman"/>
      <w:b/>
      <w:bCs w:val="0"/>
      <w:i w:val="0"/>
      <w:iCs w:val="0"/>
      <w:caps w:val="0"/>
      <w:smallCaps w:val="0"/>
      <w:strike w:val="0"/>
      <w:vanish w:val="0"/>
      <w:color w:val="000000"/>
      <w:spacing w:val="0"/>
      <w:position w:val="0"/>
      <w:sz w:val="24"/>
      <w:szCs w:val="20"/>
      <w:highlight w:val="none"/>
      <w:u w:val="none"/>
      <w:vertAlign w:val="baseline"/>
      <w:rtl w:val="0"/>
      <w:cs w:val="0"/>
      <w:lang w:val="en-US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jpg"/><Relationship Id="rId11" Type="http://schemas.openxmlformats.org/officeDocument/2006/relationships/hyperlink" Target="consultantplus://offline/ref=876EABA14E00E5D166A4ED7F77148AEC72217575CDA284491676A636F28CA108BD4DE706EAAFEF32BE20D621DF0AEECDB0DB767AE5B6l4xBA" TargetMode="External"/><Relationship Id="rId12" Type="http://schemas.openxmlformats.org/officeDocument/2006/relationships/hyperlink" Target="consultantplus://offline/ref=876EABA14E00E5D166A4F3726178D6E8702E2F7FC4AA8A1B4A2AA061ADDCA75DFD0DE150A8E8E038EA719371D300BE82F58C6579E1AA49C486E8BEE9l2x0A" TargetMode="External"/><Relationship Id="rId13" Type="http://schemas.openxmlformats.org/officeDocument/2006/relationships/image" Target="media/image2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ONLYOFFICE/7.3.3.50</Application>
  <Company>HP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Шклярова Наталья Борисовна</dc:creator>
  <cp:revision>4</cp:revision>
  <dcterms:created xsi:type="dcterms:W3CDTF">2024-09-03T21:12:00Z</dcterms:created>
  <dcterms:modified xsi:type="dcterms:W3CDTF">2024-10-08T02:39:39Z</dcterms:modified>
</cp:coreProperties>
</file>