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6528FB" w14:textId="77777777" w:rsidR="003B6003" w:rsidRDefault="003B6003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3B6003">
        <w:rPr>
          <w:rFonts w:ascii="Times New Roman" w:eastAsia="Times New Roman" w:hAnsi="Times New Roman" w:cs="Times New Roman"/>
          <w:b/>
          <w:bCs/>
          <w:sz w:val="24"/>
          <w:szCs w:val="24"/>
        </w:rPr>
        <w:t>Тигильский муниципальный округ</w:t>
      </w:r>
    </w:p>
    <w:p w14:paraId="0FD28360" w14:textId="77777777" w:rsidR="003B6003" w:rsidRDefault="003B6003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175A5D2" w14:textId="77777777" w:rsidR="00290E32" w:rsidRDefault="00290E32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90E32"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14:paraId="65AE0FBF" w14:textId="01B9D6E4" w:rsidR="009C6680" w:rsidRDefault="00290E32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90E32">
        <w:rPr>
          <w:rFonts w:ascii="Times New Roman" w:hAnsi="Times New Roman" w:cs="Times New Roman"/>
          <w:sz w:val="24"/>
          <w:szCs w:val="24"/>
        </w:rPr>
        <w:t>Лесновский детский сад «Буратино»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290E32" w:rsidRPr="000C5227" w14:paraId="61C6E7E6" w14:textId="77777777" w:rsidTr="00F847CA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483D3E52" w:rsidR="00290E32" w:rsidRPr="00290E32" w:rsidRDefault="00290E32" w:rsidP="00290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290E32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708CB40A" w:rsidR="00290E32" w:rsidRPr="00290E32" w:rsidRDefault="00290E32" w:rsidP="00290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290E32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60E3E52F" w:rsidR="00290E32" w:rsidRPr="00290E32" w:rsidRDefault="00290E32" w:rsidP="00290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290E32">
              <w:rPr>
                <w:rFonts w:ascii="Times New Roman" w:hAnsi="Times New Roman" w:cs="Times New Roman"/>
                <w:color w:val="000000"/>
              </w:rPr>
              <w:t>57,9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2E7C50B6" w:rsidR="00D449F3" w:rsidRPr="0057453A" w:rsidRDefault="00290E32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57453A">
              <w:rPr>
                <w:rFonts w:ascii="Times New Roman" w:eastAsia="Times New Roman" w:hAnsi="Times New Roman" w:cs="Times New Roman"/>
                <w:lang w:bidi="th-TH"/>
              </w:rPr>
              <w:t>89,7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59B32ED5" w:rsidR="00D449F3" w:rsidRPr="0057453A" w:rsidRDefault="00290E32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57453A">
              <w:rPr>
                <w:rFonts w:ascii="Times New Roman" w:eastAsia="Times New Roman" w:hAnsi="Times New Roman" w:cs="Times New Roman"/>
                <w:lang w:bidi="th-TH"/>
              </w:rPr>
              <w:t>100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654D4059" w:rsidR="00D449F3" w:rsidRPr="0057453A" w:rsidRDefault="00713A6A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71,2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4DC6C9C3" w:rsidR="00D449F3" w:rsidRPr="0057453A" w:rsidRDefault="00290E32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57453A">
              <w:rPr>
                <w:rFonts w:ascii="Times New Roman" w:eastAsia="Times New Roman" w:hAnsi="Times New Roman" w:cs="Times New Roman"/>
                <w:lang w:bidi="th-TH"/>
              </w:rPr>
              <w:t>100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4ADD5787" w:rsidR="00D449F3" w:rsidRPr="0057453A" w:rsidRDefault="00290E32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57453A">
              <w:rPr>
                <w:rFonts w:ascii="Times New Roman" w:eastAsia="Times New Roman" w:hAnsi="Times New Roman" w:cs="Times New Roman"/>
                <w:lang w:bidi="th-TH"/>
              </w:rPr>
              <w:t>93,6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4B3D292F" w:rsidR="00D449F3" w:rsidRPr="0057453A" w:rsidRDefault="00713A6A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90,9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35434577" w14:textId="77777777" w:rsidR="00290E32" w:rsidRDefault="00ED2D2A" w:rsidP="00290E32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290E3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</w:t>
      </w:r>
      <w:r w:rsidR="00290E32" w:rsidRPr="00290E3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учредителе (учредителях) образовательной организации, о наименовании представительств и филиалов образовательной организации (при наличии) (в том числе, находящихся за пределами Российской Федерации); </w:t>
      </w:r>
    </w:p>
    <w:p w14:paraId="76835853" w14:textId="77777777" w:rsidR="00290E32" w:rsidRDefault="00290E32" w:rsidP="00290E32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290E3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290E3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структуре и об органах управления образовательной организации (в том числе: наименование структурных подразделений (органов управления); фамилии, имена, отчества (при наличии) и должности руководителей структурных подразделений; места нахождения структурных подразделений (органов управления) образовательной организации (при наличии); адреса официальных сайтов в сети «Интернет» структурных подразделений (при наличии); адреса электронной почты структурных подразделений (органов управления) образовательной организации (при наличии); </w:t>
      </w:r>
    </w:p>
    <w:p w14:paraId="4F1612D3" w14:textId="77777777" w:rsidR="00290E32" w:rsidRDefault="00290E32" w:rsidP="00290E32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л</w:t>
      </w:r>
      <w:r w:rsidRPr="00290E3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ицензи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290E3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на осуществление образовательной деятельности (выписка из реестра лицензий на осуществление образовательной деятельности); </w:t>
      </w:r>
    </w:p>
    <w:p w14:paraId="71201C91" w14:textId="77777777" w:rsidR="00290E32" w:rsidRDefault="00290E32" w:rsidP="00290E32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290E3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реализуемых уровнях образования;</w:t>
      </w:r>
    </w:p>
    <w:p w14:paraId="1406C7DB" w14:textId="77777777" w:rsidR="00290E32" w:rsidRDefault="00290E32" w:rsidP="00290E32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290E3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нормативных сроках обучения; </w:t>
      </w:r>
    </w:p>
    <w:p w14:paraId="3C9E2701" w14:textId="77777777" w:rsidR="00290E32" w:rsidRDefault="00290E32" w:rsidP="00290E32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290E3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языка(х), на котором(ых) осуществляется образование (обучение); </w:t>
      </w:r>
    </w:p>
    <w:p w14:paraId="578C8E2D" w14:textId="77777777" w:rsidR="00290E32" w:rsidRDefault="00290E32" w:rsidP="00290E32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290E3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методических и иных документах, разработанных образовательной организацией для обеспечения образовательного процесса, а также рабочей программы воспитания и календарного плана воспитательной работы, включаемых в основные образовательные программы в соответствии с частью 1 статьи 12.1 Федерального закона от 29 декабря 2012 г. № 273-ФЗ «Об образовании в Российской Федерации», в виде электронного документа; </w:t>
      </w:r>
    </w:p>
    <w:p w14:paraId="0424012B" w14:textId="77777777" w:rsidR="00290E32" w:rsidRDefault="00290E32" w:rsidP="00290E32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lastRenderedPageBreak/>
        <w:t>Отсутствие информации о</w:t>
      </w:r>
      <w:r w:rsidRPr="00290E3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б общей численности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290E3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; </w:t>
      </w:r>
    </w:p>
    <w:p w14:paraId="36BFA89E" w14:textId="77777777" w:rsidR="00290E32" w:rsidRDefault="00290E32" w:rsidP="00290E32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290E3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численности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290E3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за счет бюджетных ассигнований федерального бюджета, бюджетов субъектов Российской Федерации, местных бюджетов и по договорам об образовании, заключаемых при приеме на обучение за счет средств физических и (или) юридических лиц (в том числе с выделением численности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290E3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, являющихся иностранными гражданами); </w:t>
      </w:r>
    </w:p>
    <w:p w14:paraId="07AEC9C6" w14:textId="77777777" w:rsidR="00290E32" w:rsidRDefault="00290E32" w:rsidP="00290E32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290E3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290E3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федеральных государственных образовательных стандартах, федеральных государственных требованиях, об образовательных стандартах и самостоятельно устанавливаемых требованиях (при их наличии); </w:t>
      </w:r>
    </w:p>
    <w:p w14:paraId="48055571" w14:textId="77777777" w:rsidR="00290E32" w:rsidRDefault="00290E32" w:rsidP="00290E32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290E3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290E3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руководителе образовательной организации, его заместителях, руководителях филиалов, представительств образовательной организации (при их наличии),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290E3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том числе: фамилия, имя, отчество (при наличии) руководителя, его заместителей; должность руководителя, его заместителей; контактные телефоны; адреса электронной почты; </w:t>
      </w:r>
    </w:p>
    <w:p w14:paraId="345D714A" w14:textId="77777777" w:rsidR="00290E32" w:rsidRDefault="00290E32" w:rsidP="00290E32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290E3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290E3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материально-техническом обеспечении образовательной деятельности (в том числе о наличии оборудованных учебных кабинетов, объектов для проведения практических занятий, библиотек, объектов спорта, средств обучения и воспитания); </w:t>
      </w:r>
    </w:p>
    <w:p w14:paraId="7BAE70D3" w14:textId="77777777" w:rsidR="00290E32" w:rsidRDefault="00290E32" w:rsidP="00290E32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290E3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290E3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условиях питания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290E3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; </w:t>
      </w:r>
    </w:p>
    <w:p w14:paraId="5DFFBBFE" w14:textId="77777777" w:rsidR="00290E32" w:rsidRDefault="00290E32" w:rsidP="00290E32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</w:t>
      </w:r>
      <w:r w:rsidRPr="00290E3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условиях охраны здоровья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290E3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76CA6B7B" w14:textId="77777777" w:rsidR="00290E32" w:rsidRDefault="00290E32" w:rsidP="00290E32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</w:t>
      </w:r>
      <w:r w:rsidRPr="00290E3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доступе к информационным системам и информационно-телекоммуникационным сетям; </w:t>
      </w:r>
    </w:p>
    <w:p w14:paraId="09043D15" w14:textId="77777777" w:rsidR="00290E32" w:rsidRDefault="00290E32" w:rsidP="00290E32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</w:t>
      </w:r>
      <w:r w:rsidRPr="00290E3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электронных образовательных ресурсах, к которым обеспечивается доступ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290E3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36B51468" w14:textId="5A105A88" w:rsidR="00290E32" w:rsidRPr="00290E32" w:rsidRDefault="00290E32" w:rsidP="00290E32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290E3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290E3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количестве вакантных мест для приема (перевода) по каждой образовательной программе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290E3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(на места, финансируемые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CAF165A" w14:textId="77777777" w:rsidR="00D449F3" w:rsidRPr="00290E32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551"/>
      <w:r w:rsidRPr="00290E3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B16D0D1" w14:textId="4A4DE95C" w:rsidR="004B47E3" w:rsidRPr="00290E32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7" w:name="_GoBack"/>
      <w:bookmarkEnd w:id="7"/>
      <w:r w:rsidRPr="00290E3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290E32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bookmarkEnd w:id="0"/>
    <w:bookmarkEnd w:id="1"/>
    <w:bookmarkEnd w:id="2"/>
    <w:bookmarkEnd w:id="3"/>
    <w:p w14:paraId="25B62F6B" w14:textId="77777777" w:rsidR="009D73F1" w:rsidRDefault="009D73F1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0E1C7B" w14:textId="0497153A" w:rsidR="00290E32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0E32">
        <w:rPr>
          <w:rFonts w:ascii="Times New Roman" w:eastAsia="Times New Roman" w:hAnsi="Times New Roman" w:cs="Times New Roman"/>
          <w:sz w:val="24"/>
          <w:szCs w:val="24"/>
        </w:rPr>
        <w:t>По критериям «Комфортность условий, в которых осуществляется образовательная деятельность», «Доброжелательность, вежливость работников организации</w:t>
      </w: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290E32">
        <w:rPr>
          <w:rFonts w:ascii="Times New Roman" w:eastAsia="Times New Roman" w:hAnsi="Times New Roman" w:cs="Times New Roman"/>
          <w:sz w:val="24"/>
          <w:szCs w:val="24"/>
        </w:rPr>
        <w:t>недостатк</w:t>
      </w:r>
      <w:r w:rsidR="009D73F1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90E32">
        <w:rPr>
          <w:rFonts w:ascii="Times New Roman" w:eastAsia="Times New Roman" w:hAnsi="Times New Roman" w:cs="Times New Roman"/>
          <w:sz w:val="24"/>
          <w:szCs w:val="24"/>
        </w:rPr>
        <w:t xml:space="preserve"> не выявлен</w:t>
      </w:r>
      <w:r w:rsidR="009D73F1">
        <w:rPr>
          <w:rFonts w:ascii="Times New Roman" w:eastAsia="Times New Roman" w:hAnsi="Times New Roman" w:cs="Times New Roman"/>
          <w:sz w:val="24"/>
          <w:szCs w:val="24"/>
        </w:rPr>
        <w:t>ы</w:t>
      </w:r>
      <w:r w:rsidR="00290E3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EA96A5B" w14:textId="35B2F497" w:rsidR="00D449F3" w:rsidRDefault="00290E32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 критерию </w:t>
      </w:r>
      <w:r w:rsidR="00E306A4" w:rsidRPr="00DA1133">
        <w:rPr>
          <w:rFonts w:ascii="Times New Roman" w:eastAsia="Times New Roman" w:hAnsi="Times New Roman" w:cs="Times New Roman"/>
          <w:sz w:val="24"/>
          <w:szCs w:val="24"/>
        </w:rPr>
        <w:t xml:space="preserve">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6"/>
    </w:p>
    <w:sectPr w:rsidR="00D449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9ADEA6" w14:textId="77777777" w:rsidR="00760E95" w:rsidRDefault="00760E95">
      <w:pPr>
        <w:spacing w:after="0" w:line="240" w:lineRule="auto"/>
      </w:pPr>
      <w:r>
        <w:separator/>
      </w:r>
    </w:p>
  </w:endnote>
  <w:endnote w:type="continuationSeparator" w:id="0">
    <w:p w14:paraId="410581DE" w14:textId="77777777" w:rsidR="00760E95" w:rsidRDefault="00760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1F0BE" w14:textId="77777777" w:rsidR="009D73F1" w:rsidRDefault="009D73F1">
    <w:pPr>
      <w:pStyle w:val="af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910CD9" w14:textId="20CD81E4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064234" w14:textId="77777777" w:rsidR="00760E95" w:rsidRDefault="00760E95">
      <w:pPr>
        <w:spacing w:after="0" w:line="240" w:lineRule="auto"/>
      </w:pPr>
      <w:r>
        <w:separator/>
      </w:r>
    </w:p>
  </w:footnote>
  <w:footnote w:type="continuationSeparator" w:id="0">
    <w:p w14:paraId="25D546EB" w14:textId="77777777" w:rsidR="00760E95" w:rsidRDefault="00760E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595383" w14:textId="77777777" w:rsidR="009D73F1" w:rsidRDefault="009D73F1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7"/>
  </w:num>
  <w:num w:numId="3">
    <w:abstractNumId w:val="15"/>
  </w:num>
  <w:num w:numId="4">
    <w:abstractNumId w:val="35"/>
  </w:num>
  <w:num w:numId="5">
    <w:abstractNumId w:val="17"/>
  </w:num>
  <w:num w:numId="6">
    <w:abstractNumId w:val="3"/>
  </w:num>
  <w:num w:numId="7">
    <w:abstractNumId w:val="34"/>
  </w:num>
  <w:num w:numId="8">
    <w:abstractNumId w:val="20"/>
  </w:num>
  <w:num w:numId="9">
    <w:abstractNumId w:val="9"/>
  </w:num>
  <w:num w:numId="10">
    <w:abstractNumId w:val="40"/>
  </w:num>
  <w:num w:numId="11">
    <w:abstractNumId w:val="25"/>
  </w:num>
  <w:num w:numId="12">
    <w:abstractNumId w:val="23"/>
  </w:num>
  <w:num w:numId="13">
    <w:abstractNumId w:val="22"/>
  </w:num>
  <w:num w:numId="14">
    <w:abstractNumId w:val="10"/>
  </w:num>
  <w:num w:numId="15">
    <w:abstractNumId w:val="6"/>
  </w:num>
  <w:num w:numId="16">
    <w:abstractNumId w:val="29"/>
  </w:num>
  <w:num w:numId="17">
    <w:abstractNumId w:val="14"/>
  </w:num>
  <w:num w:numId="18">
    <w:abstractNumId w:val="36"/>
  </w:num>
  <w:num w:numId="19">
    <w:abstractNumId w:val="33"/>
  </w:num>
  <w:num w:numId="20">
    <w:abstractNumId w:val="11"/>
  </w:num>
  <w:num w:numId="21">
    <w:abstractNumId w:val="31"/>
  </w:num>
  <w:num w:numId="22">
    <w:abstractNumId w:val="32"/>
  </w:num>
  <w:num w:numId="23">
    <w:abstractNumId w:val="8"/>
  </w:num>
  <w:num w:numId="24">
    <w:abstractNumId w:val="24"/>
  </w:num>
  <w:num w:numId="25">
    <w:abstractNumId w:val="16"/>
  </w:num>
  <w:num w:numId="26">
    <w:abstractNumId w:val="18"/>
  </w:num>
  <w:num w:numId="27">
    <w:abstractNumId w:val="4"/>
  </w:num>
  <w:num w:numId="28">
    <w:abstractNumId w:val="39"/>
  </w:num>
  <w:num w:numId="29">
    <w:abstractNumId w:val="21"/>
  </w:num>
  <w:num w:numId="30">
    <w:abstractNumId w:val="2"/>
  </w:num>
  <w:num w:numId="31">
    <w:abstractNumId w:val="7"/>
  </w:num>
  <w:num w:numId="32">
    <w:abstractNumId w:val="38"/>
  </w:num>
  <w:num w:numId="33">
    <w:abstractNumId w:val="13"/>
  </w:num>
  <w:num w:numId="34">
    <w:abstractNumId w:val="5"/>
  </w:num>
  <w:num w:numId="35">
    <w:abstractNumId w:val="0"/>
  </w:num>
  <w:num w:numId="36">
    <w:abstractNumId w:val="26"/>
  </w:num>
  <w:num w:numId="37">
    <w:abstractNumId w:val="1"/>
  </w:num>
  <w:num w:numId="38">
    <w:abstractNumId w:val="28"/>
  </w:num>
  <w:num w:numId="39">
    <w:abstractNumId w:val="19"/>
  </w:num>
  <w:num w:numId="40">
    <w:abstractNumId w:val="30"/>
  </w:num>
  <w:num w:numId="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0E32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2BED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B6003"/>
    <w:rsid w:val="003C4301"/>
    <w:rsid w:val="003D43CC"/>
    <w:rsid w:val="003D4C7E"/>
    <w:rsid w:val="003E1736"/>
    <w:rsid w:val="004212D8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34E4"/>
    <w:rsid w:val="005046DA"/>
    <w:rsid w:val="00520891"/>
    <w:rsid w:val="00523B20"/>
    <w:rsid w:val="00535B84"/>
    <w:rsid w:val="005377BD"/>
    <w:rsid w:val="00543D0B"/>
    <w:rsid w:val="0057453A"/>
    <w:rsid w:val="0057679B"/>
    <w:rsid w:val="005B04F5"/>
    <w:rsid w:val="005E5140"/>
    <w:rsid w:val="005F2E7D"/>
    <w:rsid w:val="00600588"/>
    <w:rsid w:val="00614193"/>
    <w:rsid w:val="00620E10"/>
    <w:rsid w:val="006225A3"/>
    <w:rsid w:val="00623EC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13A6A"/>
    <w:rsid w:val="00726069"/>
    <w:rsid w:val="00726DEA"/>
    <w:rsid w:val="007343D6"/>
    <w:rsid w:val="00736DD4"/>
    <w:rsid w:val="00737BE6"/>
    <w:rsid w:val="007503BB"/>
    <w:rsid w:val="00750857"/>
    <w:rsid w:val="00753F43"/>
    <w:rsid w:val="00760E95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2186A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D73F1"/>
    <w:rsid w:val="009E2587"/>
    <w:rsid w:val="009E7DBD"/>
    <w:rsid w:val="00A00EE8"/>
    <w:rsid w:val="00A14C26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C0577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93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B10FF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9D73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9D73F1"/>
  </w:style>
  <w:style w:type="paragraph" w:styleId="afff4">
    <w:name w:val="footer"/>
    <w:basedOn w:val="a"/>
    <w:link w:val="afff5"/>
    <w:uiPriority w:val="99"/>
    <w:unhideWhenUsed/>
    <w:rsid w:val="009D73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9D73F1"/>
  </w:style>
  <w:style w:type="paragraph" w:styleId="afff6">
    <w:name w:val="Balloon Text"/>
    <w:basedOn w:val="a"/>
    <w:link w:val="afff7"/>
    <w:uiPriority w:val="99"/>
    <w:semiHidden/>
    <w:unhideWhenUsed/>
    <w:rsid w:val="00DC39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f7">
    <w:name w:val="Текст выноски Знак"/>
    <w:basedOn w:val="a0"/>
    <w:link w:val="afff6"/>
    <w:uiPriority w:val="99"/>
    <w:semiHidden/>
    <w:rsid w:val="00DC39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3C073-9D24-4F14-9D02-EF71642AD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865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Юлиана Пикунова</cp:lastModifiedBy>
  <cp:revision>32</cp:revision>
  <dcterms:created xsi:type="dcterms:W3CDTF">2024-08-22T02:35:00Z</dcterms:created>
  <dcterms:modified xsi:type="dcterms:W3CDTF">2024-09-08T21:29:00Z</dcterms:modified>
</cp:coreProperties>
</file>