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759437" w14:textId="77777777" w:rsidR="00F6069F" w:rsidRDefault="00F6069F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6069F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79AF7703" w:rsidR="009C6680" w:rsidRDefault="00F6069F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6069F">
        <w:rPr>
          <w:rFonts w:ascii="Times New Roman" w:hAnsi="Times New Roman" w:cs="Times New Roman"/>
          <w:sz w:val="24"/>
          <w:szCs w:val="24"/>
        </w:rPr>
        <w:t>«Детский сад № 46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F6069F" w:rsidRPr="000C5227" w14:paraId="61C6E7E6" w14:textId="77777777" w:rsidTr="0060718C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48888EB8" w:rsidR="00F6069F" w:rsidRPr="00F6069F" w:rsidRDefault="00F6069F" w:rsidP="00F6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6069F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39D81710" w:rsidR="00F6069F" w:rsidRPr="00F6069F" w:rsidRDefault="00F6069F" w:rsidP="00F6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6069F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31F9A212" w:rsidR="00F6069F" w:rsidRPr="00F6069F" w:rsidRDefault="00F6069F" w:rsidP="00F6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6069F">
              <w:rPr>
                <w:rFonts w:ascii="Times New Roman" w:hAnsi="Times New Roman" w:cs="Times New Roman"/>
                <w:color w:val="000000"/>
              </w:rPr>
              <w:t>59,4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1DB7BA1" w:rsidR="00D449F3" w:rsidRPr="00626394" w:rsidRDefault="00F6069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2097D862" w:rsidR="00D449F3" w:rsidRPr="00626394" w:rsidRDefault="00F6069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E2EC265" w:rsidR="00D449F3" w:rsidRPr="00626394" w:rsidRDefault="00F6069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81ACF80" w:rsidR="00D449F3" w:rsidRPr="00626394" w:rsidRDefault="00F6069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0BDD66B" w:rsidR="00D449F3" w:rsidRPr="00626394" w:rsidRDefault="00F6069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655023AD" w:rsidR="00D449F3" w:rsidRPr="00626394" w:rsidRDefault="00F6069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89,2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242D2BD7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F6069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F6069F" w:rsidRPr="00F6069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</w:t>
      </w:r>
      <w:r w:rsidR="00F6069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14A5C108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F6069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7FB3AC70" w14:textId="77777777" w:rsidR="00F6069F" w:rsidRDefault="00F6069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EA96A5B" w14:textId="73F7ACF8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23019" w14:textId="77777777" w:rsidR="00354336" w:rsidRDefault="00354336">
      <w:pPr>
        <w:spacing w:after="0" w:line="240" w:lineRule="auto"/>
      </w:pPr>
      <w:r>
        <w:separator/>
      </w:r>
    </w:p>
  </w:endnote>
  <w:endnote w:type="continuationSeparator" w:id="0">
    <w:p w14:paraId="5A27B0DE" w14:textId="77777777" w:rsidR="00354336" w:rsidRDefault="0035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C7E28" w14:textId="77777777" w:rsidR="00354336" w:rsidRDefault="00354336">
      <w:pPr>
        <w:spacing w:after="0" w:line="240" w:lineRule="auto"/>
      </w:pPr>
      <w:r>
        <w:separator/>
      </w:r>
    </w:p>
  </w:footnote>
  <w:footnote w:type="continuationSeparator" w:id="0">
    <w:p w14:paraId="17DE042B" w14:textId="77777777" w:rsidR="00354336" w:rsidRDefault="00354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54336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57AF0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069F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2024-08-24T14:23:00Z</dcterms:modified>
</cp:coreProperties>
</file>