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1F5153" w14:textId="77777777" w:rsidR="00354F38" w:rsidRDefault="00354F3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4F3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5C6866A" w:rsidR="009C6680" w:rsidRDefault="00354F3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4F38">
        <w:rPr>
          <w:rFonts w:ascii="Times New Roman" w:hAnsi="Times New Roman" w:cs="Times New Roman"/>
          <w:sz w:val="24"/>
          <w:szCs w:val="24"/>
        </w:rPr>
        <w:t>«Детский сад № 37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354F38" w:rsidRPr="000C5227" w14:paraId="61C6E7E6" w14:textId="77777777" w:rsidTr="00B07E62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2896FD0" w:rsidR="00354F38" w:rsidRPr="00354F38" w:rsidRDefault="00354F38" w:rsidP="0035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54F3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D9358FF" w:rsidR="00354F38" w:rsidRPr="00354F38" w:rsidRDefault="00354F38" w:rsidP="0035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54F3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8CA380F" w:rsidR="00354F38" w:rsidRPr="00354F38" w:rsidRDefault="00354F38" w:rsidP="0035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354F38">
              <w:rPr>
                <w:rFonts w:ascii="Times New Roman" w:hAnsi="Times New Roman" w:cs="Times New Roman"/>
                <w:color w:val="000000"/>
              </w:rPr>
              <w:t>134,1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1240A80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F16F1A0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7926CDE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88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1BE5FB4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7AEEF98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DF7314E" w:rsidR="00D449F3" w:rsidRPr="00626394" w:rsidRDefault="00354F3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97,2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AF064A7" w14:textId="3074586B" w:rsidR="00354F38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354F38"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питания </w:t>
      </w:r>
      <w:r w:rsid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354F38"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28E8152C" w14:textId="570F96F7" w:rsidR="00354F38" w:rsidRDefault="00354F3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нформация о доступе к информационным системам и информационно-телекоммуникационным сетям; </w:t>
      </w:r>
    </w:p>
    <w:p w14:paraId="5FE81B08" w14:textId="77777777" w:rsidR="00354F38" w:rsidRDefault="00354F3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7285B3CC" w14:textId="654CA432" w:rsidR="00354F38" w:rsidRDefault="00354F3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953917A" w14:textId="2BCDF5ED" w:rsidR="00ED2D2A" w:rsidRPr="00191D0B" w:rsidRDefault="00354F3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ADE78AA" w14:textId="77777777" w:rsidR="00354F38" w:rsidRDefault="00191D0B" w:rsidP="00E306A4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</w:t>
      </w:r>
      <w:r w:rsidR="00354F3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  <w:bookmarkEnd w:id="0"/>
      <w:bookmarkEnd w:id="1"/>
      <w:bookmarkEnd w:id="2"/>
      <w:bookmarkEnd w:id="3"/>
    </w:p>
    <w:p w14:paraId="2EA96A5B" w14:textId="3A88BD99" w:rsidR="00D449F3" w:rsidRPr="00354F38" w:rsidRDefault="00E306A4" w:rsidP="00354F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354F38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354F38" w:rsidRPr="00354F38">
        <w:rPr>
          <w:rFonts w:ascii="Times New Roman" w:eastAsia="Times New Roman" w:hAnsi="Times New Roman" w:cs="Times New Roman"/>
          <w:sz w:val="24"/>
          <w:szCs w:val="24"/>
        </w:rPr>
        <w:t>недостатки не выявлены</w:t>
      </w:r>
      <w:r w:rsidR="007A19ED" w:rsidRPr="00354F38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5"/>
      <w:bookmarkEnd w:id="8"/>
    </w:p>
    <w:sectPr w:rsidR="00D449F3" w:rsidRPr="00354F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7B35A" w14:textId="77777777" w:rsidR="00DE6479" w:rsidRDefault="00DE6479">
      <w:pPr>
        <w:spacing w:after="0" w:line="240" w:lineRule="auto"/>
      </w:pPr>
      <w:r>
        <w:separator/>
      </w:r>
    </w:p>
  </w:endnote>
  <w:endnote w:type="continuationSeparator" w:id="0">
    <w:p w14:paraId="0A958A22" w14:textId="77777777" w:rsidR="00DE6479" w:rsidRDefault="00DE6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1059D" w14:textId="77777777" w:rsidR="00DE6479" w:rsidRDefault="00DE6479">
      <w:pPr>
        <w:spacing w:after="0" w:line="240" w:lineRule="auto"/>
      </w:pPr>
      <w:r>
        <w:separator/>
      </w:r>
    </w:p>
  </w:footnote>
  <w:footnote w:type="continuationSeparator" w:id="0">
    <w:p w14:paraId="163C3116" w14:textId="77777777" w:rsidR="00DE6479" w:rsidRDefault="00DE6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54F38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4368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E6479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2024-08-24T14:03:00Z</dcterms:modified>
</cp:coreProperties>
</file>